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D3E73" w14:textId="77777777" w:rsidR="00BE629F" w:rsidRPr="002053AF" w:rsidRDefault="00BE629F" w:rsidP="0026626D">
      <w:pPr>
        <w:pStyle w:val="Title"/>
        <w:rPr>
          <w:b w:val="0"/>
          <w:sz w:val="32"/>
          <w:szCs w:val="32"/>
        </w:rPr>
      </w:pPr>
      <w:r w:rsidRPr="002053AF">
        <w:rPr>
          <w:b w:val="0"/>
          <w:sz w:val="32"/>
          <w:szCs w:val="32"/>
        </w:rPr>
        <w:t>Disability Rights Fund and Disability Rights Advocacy Fund</w:t>
      </w:r>
    </w:p>
    <w:p w14:paraId="62A11228" w14:textId="1DE31585" w:rsidR="00BE629F" w:rsidRPr="00BE629F" w:rsidRDefault="00BE629F" w:rsidP="0026626D">
      <w:pPr>
        <w:pStyle w:val="Title"/>
      </w:pPr>
      <w:r w:rsidRPr="00BE629F">
        <w:t>2023 Annual Report</w:t>
      </w:r>
    </w:p>
    <w:p w14:paraId="1AFD3ABC" w14:textId="181D03DC" w:rsidR="00BE629F" w:rsidRPr="00BE629F" w:rsidRDefault="00BE629F" w:rsidP="0026626D">
      <w:pPr>
        <w:pStyle w:val="Title"/>
      </w:pPr>
      <w:r w:rsidRPr="00BE629F">
        <w:t>Unlocking the Possibilities of Inclusion</w:t>
      </w:r>
    </w:p>
    <w:p w14:paraId="5051D8A6" w14:textId="77777777" w:rsidR="0026626D" w:rsidRPr="0026626D" w:rsidRDefault="0026626D" w:rsidP="003B4C79">
      <w:pPr>
        <w:spacing w:before="240" w:after="160"/>
      </w:pPr>
      <w:r w:rsidRPr="0026626D">
        <w:t>Dear Friends and Partners,</w:t>
      </w:r>
    </w:p>
    <w:p w14:paraId="14D92938" w14:textId="5CA03074" w:rsidR="0026626D" w:rsidRPr="0026626D" w:rsidRDefault="0026626D" w:rsidP="0026626D">
      <w:pPr>
        <w:spacing w:before="0" w:after="160"/>
      </w:pPr>
      <w:r w:rsidRPr="0026626D">
        <w:t xml:space="preserve">We are excited to share Disability Rights Fund (DRF) and Disability Rights Advocacy Fund’s (DRAF) 2023 annual report, Unlocking the Possibilities of Inclusion. This report is a celebration of DRF’s milestones and the advocacy journeys and strides of grassroots organizations of persons with disabilities (OPDs) across the Global South. This past year has been a critical one for us as we created our visionary five-year strategic plan: </w:t>
      </w:r>
      <w:hyperlink r:id="rId8" w:history="1">
        <w:r w:rsidRPr="0026626D">
          <w:rPr>
            <w:rStyle w:val="Hyperlink"/>
            <w:u w:val="single"/>
          </w:rPr>
          <w:t>Disability-Led Futures for a Just World: DRF’s Path to 2029</w:t>
        </w:r>
      </w:hyperlink>
      <w:r w:rsidRPr="0026626D">
        <w:t>. We thank Catalina Devandas, our former Executive Director, for her leadership in guiding our new strategic plan.</w:t>
      </w:r>
    </w:p>
    <w:p w14:paraId="6A0F02F6" w14:textId="77777777" w:rsidR="0026626D" w:rsidRPr="0026626D" w:rsidRDefault="0026626D" w:rsidP="0026626D">
      <w:pPr>
        <w:spacing w:before="0" w:after="160"/>
      </w:pPr>
      <w:r w:rsidRPr="0026626D">
        <w:t xml:space="preserve">Our participatory process deepened our connections and reaffirmed our new vision: Disability Rights for Everyone, </w:t>
      </w:r>
      <w:proofErr w:type="gramStart"/>
      <w:r w:rsidRPr="0026626D">
        <w:t>Everywhere</w:t>
      </w:r>
      <w:proofErr w:type="gramEnd"/>
      <w:r w:rsidRPr="0026626D">
        <w:t xml:space="preserve">. As we begin implementing our strategic plan, we remain committed to embracing an intersectional approach, recognizing our interdependence and celebrating the richness of human diversity along the way. </w:t>
      </w:r>
    </w:p>
    <w:p w14:paraId="5CF18B5B" w14:textId="77777777" w:rsidR="0026626D" w:rsidRPr="0026626D" w:rsidRDefault="0026626D" w:rsidP="0026626D">
      <w:pPr>
        <w:spacing w:before="0" w:after="160"/>
      </w:pPr>
      <w:r w:rsidRPr="0026626D">
        <w:t xml:space="preserve">In 2023, DRF movement partners rallied for their rights across intersecting issues—from inclusive climate action to gender justice—amplifying the voices of those on the margins, such as persons with </w:t>
      </w:r>
      <w:proofErr w:type="spellStart"/>
      <w:r w:rsidRPr="0026626D">
        <w:t>DeafBlindness</w:t>
      </w:r>
      <w:proofErr w:type="spellEnd"/>
      <w:r w:rsidRPr="0026626D">
        <w:t xml:space="preserve"> and persons with albinism. Together, we celebrated landmark achievements, including the Solomon Islands’ ratification of the Convention on the Rights of Persons with Disabilities. In Malawi, our partners rejoiced as the government adopted a new Persons with Disabilities Act, paving the way for genuine inclusion. These victories are the result of years of tireless advocacy!</w:t>
      </w:r>
    </w:p>
    <w:p w14:paraId="397C02CB" w14:textId="0612D6B9" w:rsidR="0026626D" w:rsidRPr="0026626D" w:rsidRDefault="0026626D" w:rsidP="0026626D">
      <w:pPr>
        <w:spacing w:before="0" w:after="160"/>
      </w:pPr>
      <w:r w:rsidRPr="0026626D">
        <w:t xml:space="preserve">In 2023, we also received an unprecedented $8 million gift from philanthropist MacKenzie Scott—a landmark investment coming at a critical moment when the funding landscape is narrowing. </w:t>
      </w:r>
    </w:p>
    <w:p w14:paraId="6583EC54" w14:textId="77777777" w:rsidR="0026626D" w:rsidRPr="0026626D" w:rsidRDefault="0026626D" w:rsidP="0026626D">
      <w:pPr>
        <w:spacing w:before="0" w:after="160"/>
      </w:pPr>
      <w:r w:rsidRPr="0026626D">
        <w:t xml:space="preserve">We invite you to explore the stories and successes in this report, which highlight the diverse leadership and innovative advocacy solutions of disability rights advocates around the world.  </w:t>
      </w:r>
    </w:p>
    <w:p w14:paraId="110E3067" w14:textId="77777777" w:rsidR="0026626D" w:rsidRPr="0026626D" w:rsidRDefault="0026626D" w:rsidP="0026626D">
      <w:pPr>
        <w:spacing w:before="0" w:after="160"/>
      </w:pPr>
      <w:r w:rsidRPr="0026626D">
        <w:t>We extend our deepest gratitude to all supporters and global grantee partners. Your generosity and commitment make our work possible, strengthening and diversifying disability rights movements.</w:t>
      </w:r>
    </w:p>
    <w:p w14:paraId="6863A9BF" w14:textId="77777777" w:rsidR="0026626D" w:rsidRDefault="0026626D" w:rsidP="003B4C79">
      <w:pPr>
        <w:spacing w:before="0" w:after="0"/>
      </w:pPr>
      <w:r w:rsidRPr="0026626D">
        <w:t xml:space="preserve">With hope, </w:t>
      </w:r>
    </w:p>
    <w:p w14:paraId="13C53872" w14:textId="77777777" w:rsidR="0049183F" w:rsidRPr="0026626D" w:rsidRDefault="0049183F" w:rsidP="003B4C79">
      <w:pPr>
        <w:spacing w:before="0" w:after="0"/>
      </w:pPr>
    </w:p>
    <w:p w14:paraId="678C8FEA" w14:textId="77777777" w:rsidR="0026626D" w:rsidRPr="0026626D" w:rsidRDefault="0026626D" w:rsidP="002053AF">
      <w:pPr>
        <w:spacing w:before="0" w:after="0"/>
      </w:pPr>
      <w:r w:rsidRPr="0026626D">
        <w:t xml:space="preserve">Lorraine </w:t>
      </w:r>
      <w:proofErr w:type="spellStart"/>
      <w:r w:rsidRPr="0026626D">
        <w:t>Wapling</w:t>
      </w:r>
      <w:proofErr w:type="spellEnd"/>
    </w:p>
    <w:p w14:paraId="3F061F85" w14:textId="3DAD4173" w:rsidR="0026626D" w:rsidRDefault="0026626D" w:rsidP="0049183F">
      <w:pPr>
        <w:spacing w:before="0" w:after="0"/>
      </w:pPr>
      <w:r w:rsidRPr="0026626D">
        <w:t>Interim Executive Director</w:t>
      </w:r>
      <w:r w:rsidR="00602DD5">
        <w:br/>
      </w:r>
      <w:r w:rsidRPr="0026626D">
        <w:t>Disability Rights Fund</w:t>
      </w:r>
    </w:p>
    <w:p w14:paraId="41AD6F2E" w14:textId="77777777" w:rsidR="0026626D" w:rsidRPr="0026626D" w:rsidRDefault="0026626D" w:rsidP="0026626D">
      <w:pPr>
        <w:pStyle w:val="Heading1"/>
      </w:pPr>
      <w:r w:rsidRPr="0026626D">
        <w:lastRenderedPageBreak/>
        <w:t>Values</w:t>
      </w:r>
    </w:p>
    <w:p w14:paraId="55EDC63C" w14:textId="77777777" w:rsidR="0026626D" w:rsidRPr="00602DD5" w:rsidRDefault="0026626D" w:rsidP="0026626D">
      <w:pPr>
        <w:pStyle w:val="ListParagraph"/>
        <w:numPr>
          <w:ilvl w:val="0"/>
          <w:numId w:val="1"/>
        </w:numPr>
      </w:pPr>
      <w:r w:rsidRPr="00602DD5">
        <w:t>We celebrate human diversity and disability pride.</w:t>
      </w:r>
    </w:p>
    <w:p w14:paraId="1DDADE37" w14:textId="77777777" w:rsidR="0026626D" w:rsidRPr="00602DD5" w:rsidRDefault="0026626D" w:rsidP="0026626D">
      <w:pPr>
        <w:pStyle w:val="ListParagraph"/>
        <w:numPr>
          <w:ilvl w:val="0"/>
          <w:numId w:val="1"/>
        </w:numPr>
      </w:pPr>
      <w:r w:rsidRPr="00602DD5">
        <w:t xml:space="preserve">We value the participation, access, and inclusion of all persons with disabilities to promote human rights. </w:t>
      </w:r>
    </w:p>
    <w:p w14:paraId="708BA577" w14:textId="77777777" w:rsidR="0026626D" w:rsidRPr="00602DD5" w:rsidRDefault="0026626D" w:rsidP="0026626D">
      <w:pPr>
        <w:pStyle w:val="ListParagraph"/>
        <w:numPr>
          <w:ilvl w:val="0"/>
          <w:numId w:val="1"/>
        </w:numPr>
      </w:pPr>
      <w:r w:rsidRPr="00602DD5">
        <w:t xml:space="preserve">We embrace learning from success and failure as a powerful means of transformation. </w:t>
      </w:r>
    </w:p>
    <w:p w14:paraId="3857BCFE" w14:textId="77777777" w:rsidR="0026626D" w:rsidRPr="00602DD5" w:rsidRDefault="0026626D" w:rsidP="0026626D">
      <w:pPr>
        <w:pStyle w:val="ListParagraph"/>
        <w:numPr>
          <w:ilvl w:val="0"/>
          <w:numId w:val="1"/>
        </w:numPr>
      </w:pPr>
      <w:r w:rsidRPr="00602DD5">
        <w:t xml:space="preserve">We bring an intersectional feminist approach to our work. </w:t>
      </w:r>
    </w:p>
    <w:p w14:paraId="3EEC7695" w14:textId="18FA325E" w:rsidR="0026626D" w:rsidRPr="00602DD5" w:rsidRDefault="0026626D" w:rsidP="0026626D">
      <w:pPr>
        <w:pStyle w:val="ListParagraph"/>
        <w:numPr>
          <w:ilvl w:val="0"/>
          <w:numId w:val="1"/>
        </w:numPr>
      </w:pPr>
      <w:r w:rsidRPr="00602DD5">
        <w:t>We base our relationships on collaboration, solidarity, interdependence, joy, and accountability.</w:t>
      </w:r>
    </w:p>
    <w:p w14:paraId="6B3F6469" w14:textId="77777777" w:rsidR="0026626D" w:rsidRDefault="0026626D" w:rsidP="0026626D">
      <w:pPr>
        <w:pStyle w:val="Heading1"/>
      </w:pPr>
      <w:r w:rsidRPr="0026626D">
        <w:t>Values in Action: Our Model</w:t>
      </w:r>
    </w:p>
    <w:p w14:paraId="5072DA36" w14:textId="2662FADF" w:rsidR="0026626D" w:rsidRPr="00602DD5" w:rsidRDefault="0026626D" w:rsidP="0026626D">
      <w:pPr>
        <w:pStyle w:val="ListParagraph"/>
        <w:numPr>
          <w:ilvl w:val="0"/>
          <w:numId w:val="2"/>
        </w:numPr>
      </w:pPr>
      <w:r w:rsidRPr="00602DD5">
        <w:t xml:space="preserve">64% of our team members identify as Black, Indigenous, and/or Persons of Color. </w:t>
      </w:r>
    </w:p>
    <w:p w14:paraId="59EB2683" w14:textId="6D3CF265" w:rsidR="0026626D" w:rsidRPr="00602DD5" w:rsidRDefault="0026626D" w:rsidP="0026626D">
      <w:pPr>
        <w:pStyle w:val="ListParagraph"/>
        <w:numPr>
          <w:ilvl w:val="0"/>
          <w:numId w:val="2"/>
        </w:numPr>
      </w:pPr>
      <w:r w:rsidRPr="00602DD5">
        <w:t>52% of our grantmaking from the regular cycle was awarded to marginalized identities within disability rights movements.</w:t>
      </w:r>
    </w:p>
    <w:p w14:paraId="5659548D" w14:textId="31203D88" w:rsidR="0026626D" w:rsidRPr="00602DD5" w:rsidRDefault="0026626D" w:rsidP="0026626D">
      <w:pPr>
        <w:pStyle w:val="ListParagraph"/>
        <w:numPr>
          <w:ilvl w:val="0"/>
          <w:numId w:val="2"/>
        </w:numPr>
      </w:pPr>
      <w:r w:rsidRPr="00602DD5">
        <w:t xml:space="preserve">100% of our board members identify as persons with disabilities. </w:t>
      </w:r>
    </w:p>
    <w:p w14:paraId="49F31226" w14:textId="77777777" w:rsidR="0026626D" w:rsidRPr="0026626D" w:rsidRDefault="0026626D" w:rsidP="0026626D">
      <w:pPr>
        <w:pStyle w:val="Heading1"/>
      </w:pPr>
      <w:r w:rsidRPr="0026626D">
        <w:t>Celebrating Movement Wins &amp; Strides</w:t>
      </w:r>
    </w:p>
    <w:p w14:paraId="1DD08B06" w14:textId="77777777" w:rsidR="0026626D" w:rsidRDefault="0026626D" w:rsidP="0026626D">
      <w:r w:rsidRPr="0026626D">
        <w:t>In 2023, we witnessed remarkable transformations led by diverse disability rights movements in the Global South. From Nigeria to Malawi, Nepal to Fiji, these advocacy strides reflect the growing strength and leadership of the disability movement and advocates, driving forward a shared vision of a more inclusive world.</w:t>
      </w:r>
    </w:p>
    <w:p w14:paraId="23E6D660" w14:textId="77777777" w:rsidR="0026626D" w:rsidRPr="00602DD5" w:rsidRDefault="0026626D" w:rsidP="0026626D">
      <w:pPr>
        <w:spacing w:after="160"/>
      </w:pPr>
      <w:r w:rsidRPr="00602DD5">
        <w:t>Here are a few 2023 grantee milestones:</w:t>
      </w:r>
    </w:p>
    <w:p w14:paraId="0CAEFDAA" w14:textId="77777777" w:rsidR="0026626D" w:rsidRPr="00602DD5" w:rsidRDefault="0026626D" w:rsidP="0026626D">
      <w:pPr>
        <w:pStyle w:val="ListParagraph"/>
        <w:numPr>
          <w:ilvl w:val="0"/>
          <w:numId w:val="3"/>
        </w:numPr>
      </w:pPr>
      <w:r w:rsidRPr="00602DD5">
        <w:t>After years of grassroots movement building and advocacy, the government of Malawi adopted a new Persons with Disabilities Act.</w:t>
      </w:r>
    </w:p>
    <w:p w14:paraId="30461B08" w14:textId="77777777" w:rsidR="0026626D" w:rsidRPr="00602DD5" w:rsidRDefault="0026626D" w:rsidP="0026626D">
      <w:pPr>
        <w:pStyle w:val="ListParagraph"/>
        <w:numPr>
          <w:ilvl w:val="0"/>
          <w:numId w:val="3"/>
        </w:numPr>
      </w:pPr>
      <w:r w:rsidRPr="00602DD5">
        <w:t>And there’s more good news from Malawi! The government also ratified the African Disability Protocol (ADP), opening doors for meaningful action. We are thrilled that all governments in our target countries have now ratified the ADP.</w:t>
      </w:r>
    </w:p>
    <w:p w14:paraId="5529C492" w14:textId="0C87C532" w:rsidR="0026626D" w:rsidRPr="00602DD5" w:rsidRDefault="0026626D" w:rsidP="0026626D">
      <w:pPr>
        <w:pStyle w:val="ListParagraph"/>
        <w:numPr>
          <w:ilvl w:val="0"/>
          <w:numId w:val="3"/>
        </w:numPr>
      </w:pPr>
      <w:r w:rsidRPr="00602DD5">
        <w:t>Indonesian Mental Health Association (IMHA) drafted a policy paper to ensure the rights of persons with disabilities are reflected in the national bill on climate action. IMHA also continues to foster dialogues between the disability and environmental justice movements, engaging in research on the impacts of climate change on persons with disabilities.</w:t>
      </w:r>
    </w:p>
    <w:p w14:paraId="290AFF21" w14:textId="77777777" w:rsidR="0026626D" w:rsidRPr="00602DD5" w:rsidRDefault="0026626D" w:rsidP="0026626D">
      <w:pPr>
        <w:pStyle w:val="ListParagraph"/>
        <w:numPr>
          <w:ilvl w:val="0"/>
          <w:numId w:val="3"/>
        </w:numPr>
      </w:pPr>
      <w:r w:rsidRPr="00602DD5">
        <w:t>The National Union of Disabled Persons of Uganda’s (NUDIPU) advocacy led to the formation of the Parliamentary Forum for Persons with Disabilities, creating a powerful channel for inclusive policy advocacy in Parliament.</w:t>
      </w:r>
    </w:p>
    <w:p w14:paraId="51EF3508" w14:textId="5621AA17" w:rsidR="008F401E" w:rsidRPr="008F401E" w:rsidRDefault="008F401E" w:rsidP="008F401E">
      <w:pPr>
        <w:pStyle w:val="BasicParagraph"/>
        <w:numPr>
          <w:ilvl w:val="0"/>
          <w:numId w:val="3"/>
        </w:numPr>
        <w:rPr>
          <w:spacing w:val="-2"/>
        </w:rPr>
      </w:pPr>
      <w:r w:rsidRPr="008F401E">
        <w:rPr>
          <w:spacing w:val="-2"/>
        </w:rPr>
        <w:lastRenderedPageBreak/>
        <w:t>Center for Citizens with Disabilities made a stakeholder submission to the Universal Periodic Review (UPR) mechanism and contributed to improved accessible aviation and service delivery at airports in Nigeria.</w:t>
      </w:r>
    </w:p>
    <w:p w14:paraId="2901A25C" w14:textId="77777777" w:rsidR="0026626D" w:rsidRPr="00602DD5" w:rsidRDefault="0026626D" w:rsidP="0026626D">
      <w:pPr>
        <w:pStyle w:val="ListParagraph"/>
        <w:numPr>
          <w:ilvl w:val="0"/>
          <w:numId w:val="3"/>
        </w:numPr>
      </w:pPr>
      <w:r w:rsidRPr="00602DD5">
        <w:t xml:space="preserve">Given Nepal’s vulnerability to climate change, DRF grantee partners advocated for inclusive climate action for persons with disabilities from Indigenous and remote rural Himalayan communities. </w:t>
      </w:r>
    </w:p>
    <w:p w14:paraId="3EBE6CB4" w14:textId="77777777" w:rsidR="0026626D" w:rsidRPr="00602DD5" w:rsidRDefault="0026626D" w:rsidP="0026626D">
      <w:pPr>
        <w:pStyle w:val="ListParagraph"/>
        <w:numPr>
          <w:ilvl w:val="0"/>
          <w:numId w:val="3"/>
        </w:numPr>
      </w:pPr>
      <w:r w:rsidRPr="00602DD5">
        <w:t>The Rwandan government officially accepted the National Sign Language Dictionary, developed by grantee, Rwanda National Association of the Deaf.</w:t>
      </w:r>
    </w:p>
    <w:p w14:paraId="596CA2A0" w14:textId="7A91AF2A" w:rsidR="0026626D" w:rsidRPr="00602DD5" w:rsidRDefault="0026626D" w:rsidP="0026626D">
      <w:pPr>
        <w:pStyle w:val="ListParagraph"/>
        <w:numPr>
          <w:ilvl w:val="0"/>
          <w:numId w:val="3"/>
        </w:numPr>
      </w:pPr>
      <w:r w:rsidRPr="00602DD5">
        <w:t xml:space="preserve">DRF grantee, OHANA participated in </w:t>
      </w:r>
      <w:r w:rsidR="00854F94">
        <w:t>Civil Society (</w:t>
      </w:r>
      <w:r w:rsidRPr="00602DD5">
        <w:t>C20</w:t>
      </w:r>
      <w:r w:rsidR="00854F94">
        <w:t>)</w:t>
      </w:r>
      <w:r w:rsidRPr="00602DD5">
        <w:t xml:space="preserve"> in India, speaking at a side session on the intersection of disability, gender, and equity.</w:t>
      </w:r>
    </w:p>
    <w:p w14:paraId="40219A25" w14:textId="5421E695" w:rsidR="0026626D" w:rsidRDefault="0026626D" w:rsidP="0026626D">
      <w:pPr>
        <w:pStyle w:val="Quote"/>
      </w:pPr>
      <w:r>
        <w:t>“</w:t>
      </w:r>
      <w:r w:rsidRPr="0026626D">
        <w:t>Ratifying the African Disability Protocol is crucial for Malawi as it strengthens the legal framework for disability rights and affirms the government's commitment to recognizing and protecting the dignity and rights of persons with disabilities. This action lays the foundation for an inclusive society, ensuring equal opportunities for all citizens to participate in the economy and to contribute to national development."</w:t>
      </w:r>
      <w:r w:rsidR="00602DD5">
        <w:t xml:space="preserve"> - </w:t>
      </w:r>
      <w:r w:rsidRPr="0026626D">
        <w:t>Chrissy Zimba</w:t>
      </w:r>
      <w:r>
        <w:t xml:space="preserve">, </w:t>
      </w:r>
      <w:r w:rsidRPr="0026626D">
        <w:t>Program Officer for Malawi</w:t>
      </w:r>
    </w:p>
    <w:p w14:paraId="5ECF5A89" w14:textId="1ADBE1D6" w:rsidR="0026626D" w:rsidRDefault="0026626D" w:rsidP="0026626D">
      <w:pPr>
        <w:pStyle w:val="Quote"/>
      </w:pPr>
      <w:r>
        <w:t>“</w:t>
      </w:r>
      <w:r w:rsidRPr="0026626D">
        <w:t xml:space="preserve">People with disabilities continue to face inequality and discrimination due to war, natural disasters, climate change, and poverty. This is why OHANA built a national coalition with PRAKARSA to increase the participation of OPDs to promote inclusive international development and cooperation within the G20 leaders.” </w:t>
      </w:r>
      <w:r w:rsidR="00602DD5">
        <w:t xml:space="preserve">- </w:t>
      </w:r>
      <w:r w:rsidRPr="0026626D">
        <w:t xml:space="preserve">OHANA member </w:t>
      </w:r>
    </w:p>
    <w:p w14:paraId="382829B9" w14:textId="0472493A" w:rsidR="001E2A06" w:rsidRDefault="001E2A06" w:rsidP="001E2A06">
      <w:pPr>
        <w:pStyle w:val="Heading1"/>
      </w:pPr>
      <w:r w:rsidRPr="001E2A06">
        <w:rPr>
          <w:bCs/>
        </w:rPr>
        <w:t xml:space="preserve">Advancing Rights in Adversity: </w:t>
      </w:r>
      <w:r w:rsidRPr="001E2A06">
        <w:t>Resourcing Disability Advocacy in Haiti</w:t>
      </w:r>
    </w:p>
    <w:p w14:paraId="52F08FBB" w14:textId="77777777" w:rsidR="001E2A06" w:rsidRPr="001E2A06" w:rsidRDefault="001E2A06" w:rsidP="001E2A06">
      <w:pPr>
        <w:spacing w:after="160"/>
      </w:pPr>
      <w:r w:rsidRPr="001E2A06">
        <w:t xml:space="preserve">In the face of humanitarian emergencies and political upheaval, Haitian disability rights activists continued to persevere for their rights. DRF’s support of grantees in Haiti extended well beyond financial assistance. Recognizing the complex environment in which disability rights organizations operate, we continued to provide comprehensive, tailored support to ensure their sustainability and effectiveness. </w:t>
      </w:r>
    </w:p>
    <w:p w14:paraId="0FDAEBB2" w14:textId="7470FD83" w:rsidR="001E2A06" w:rsidRDefault="001E2A06" w:rsidP="001E2A06">
      <w:r w:rsidRPr="001E2A06">
        <w:t xml:space="preserve">This included personalized coaching and technical assistance, enabling grantees to navigate obstacles and optimize their impact. Grantees, Association des Femmes </w:t>
      </w:r>
      <w:proofErr w:type="spellStart"/>
      <w:r w:rsidRPr="001E2A06">
        <w:t>Handicapées</w:t>
      </w:r>
      <w:proofErr w:type="spellEnd"/>
      <w:r w:rsidRPr="001E2A06">
        <w:t xml:space="preserve"> du Sud and Association des </w:t>
      </w:r>
      <w:proofErr w:type="spellStart"/>
      <w:r w:rsidRPr="001E2A06">
        <w:t>Handicapés</w:t>
      </w:r>
      <w:proofErr w:type="spellEnd"/>
      <w:r w:rsidRPr="001E2A06">
        <w:t xml:space="preserve"> du Nord Est, developed comprehensive emergency management plans to better prepare for humanitarian emergencies and climate crises. And grantees, like Association pour la Promotion du Droit et </w:t>
      </w:r>
      <w:proofErr w:type="spellStart"/>
      <w:r w:rsidRPr="001E2A06">
        <w:t>l’Intégration</w:t>
      </w:r>
      <w:proofErr w:type="spellEnd"/>
      <w:r w:rsidRPr="001E2A06">
        <w:t xml:space="preserve"> des </w:t>
      </w:r>
      <w:proofErr w:type="spellStart"/>
      <w:r w:rsidRPr="001E2A06">
        <w:t>Personnes</w:t>
      </w:r>
      <w:proofErr w:type="spellEnd"/>
      <w:r w:rsidRPr="001E2A06">
        <w:t xml:space="preserve"> </w:t>
      </w:r>
      <w:proofErr w:type="spellStart"/>
      <w:r w:rsidRPr="001E2A06">
        <w:t>Handicapées</w:t>
      </w:r>
      <w:proofErr w:type="spellEnd"/>
      <w:r w:rsidRPr="001E2A06">
        <w:t xml:space="preserve"> du Sud (APDIPHIS) and Reseau </w:t>
      </w:r>
      <w:proofErr w:type="spellStart"/>
      <w:r w:rsidRPr="001E2A06">
        <w:t>Associatif</w:t>
      </w:r>
      <w:proofErr w:type="spellEnd"/>
      <w:r w:rsidRPr="001E2A06">
        <w:t xml:space="preserve"> National pour </w:t>
      </w:r>
      <w:proofErr w:type="spellStart"/>
      <w:r w:rsidRPr="001E2A06">
        <w:t>l'Intégration</w:t>
      </w:r>
      <w:proofErr w:type="spellEnd"/>
      <w:r w:rsidRPr="001E2A06">
        <w:t xml:space="preserve"> des </w:t>
      </w:r>
      <w:proofErr w:type="spellStart"/>
      <w:r w:rsidRPr="001E2A06">
        <w:t>Personnes</w:t>
      </w:r>
      <w:proofErr w:type="spellEnd"/>
      <w:r w:rsidRPr="001E2A06">
        <w:t xml:space="preserve"> </w:t>
      </w:r>
      <w:proofErr w:type="spellStart"/>
      <w:r w:rsidRPr="001E2A06">
        <w:t>Handicapées</w:t>
      </w:r>
      <w:proofErr w:type="spellEnd"/>
      <w:r w:rsidRPr="001E2A06">
        <w:t xml:space="preserve"> (RANIPH) strengthened their internal governance and trained stakeholders, including the Ministry of Education, on inclusive education and disability rights.</w:t>
      </w:r>
    </w:p>
    <w:p w14:paraId="2C2651CE" w14:textId="4E122710" w:rsidR="001E2A06" w:rsidRPr="001E2A06" w:rsidRDefault="001E2A06" w:rsidP="001E2A06">
      <w:pPr>
        <w:pStyle w:val="Quote"/>
      </w:pPr>
      <w:r>
        <w:lastRenderedPageBreak/>
        <w:t>“</w:t>
      </w:r>
      <w:r w:rsidRPr="001E2A06">
        <w:t>DRF also actively facilitated connections with other donors and shared growth opportunities, broadening the support network available to Haitian OPDs. Furthermore, we worked closely with grantees to enhance their organizational capacity, refine their advocacy strategies, and strengthen their ability to engage in national forums. Through this multi-pronged strategy, we supported grantees to continue advancing the rights and inclusion of persons with disabilities in Haiti amidst significant challenges."</w:t>
      </w:r>
      <w:r w:rsidR="00602DD5">
        <w:t xml:space="preserve"> - </w:t>
      </w:r>
      <w:r w:rsidRPr="001E2A06">
        <w:t>Jo-Ann Garnier, Program Officer for Haiti</w:t>
      </w:r>
    </w:p>
    <w:p w14:paraId="3E2D86A3" w14:textId="19D9D64A" w:rsidR="003C7A92" w:rsidRDefault="003C7A92" w:rsidP="003C7A92">
      <w:pPr>
        <w:pStyle w:val="Heading1"/>
      </w:pPr>
      <w:r w:rsidRPr="003C7A92">
        <w:t>Accompanying Movements on their Advocacy Journeys: Spotlight on the Solomon Islands</w:t>
      </w:r>
    </w:p>
    <w:p w14:paraId="1C68D550" w14:textId="4B61C13C" w:rsidR="003C7A92" w:rsidRPr="003C7A92" w:rsidRDefault="003C7A92" w:rsidP="003C7A92">
      <w:pPr>
        <w:spacing w:before="0" w:after="160"/>
      </w:pPr>
      <w:r w:rsidRPr="003C7A92">
        <w:t xml:space="preserve">We are celebrating the ratification of the UN Convention on the Rights of Persons with Disabilities by the Solomon Islands. Since 2010, DRAF, our sister fund, has supported this advocacy, underscoring the importance of accompanying movements on their long journeys for inclusion. </w:t>
      </w:r>
    </w:p>
    <w:p w14:paraId="7CCC228B" w14:textId="77777777" w:rsidR="003C7A92" w:rsidRPr="003C7A92" w:rsidRDefault="003C7A92" w:rsidP="003C7A92">
      <w:pPr>
        <w:spacing w:before="0" w:after="160"/>
      </w:pPr>
      <w:r w:rsidRPr="003C7A92">
        <w:t xml:space="preserve">“Over the years, we have engaged with different ministries with the hope that disability is not in a silo under the Ministry of Health,” shared Simon </w:t>
      </w:r>
      <w:proofErr w:type="spellStart"/>
      <w:r w:rsidRPr="003C7A92">
        <w:t>Dolaiano</w:t>
      </w:r>
      <w:proofErr w:type="spellEnd"/>
      <w:r w:rsidRPr="003C7A92">
        <w:t xml:space="preserve">, President of People with Disabilities Solomon Islands. </w:t>
      </w:r>
    </w:p>
    <w:p w14:paraId="214D7CC1" w14:textId="3E562F73" w:rsidR="003C7A92" w:rsidRPr="003C7A92" w:rsidRDefault="003C7A92" w:rsidP="003C7A92">
      <w:r w:rsidRPr="003C7A92">
        <w:t xml:space="preserve">Looking ahead, some of the movement's key priorities include advocating for inclusive climate and disaster-risk </w:t>
      </w:r>
      <w:r w:rsidRPr="00602DD5">
        <w:t>reduction policies, as well as centering the voices of persons with disabilities from marginalized identities, such as those with psychosocial and intellectual disabilities. Simon also emphasized the need to build solidarity and deepen collaboration across disability rights movements in the Pacific. His call to action for donors: Embrace flexibility when engaging with OPDs in the Pacific and have curiosity to understand the unique political and cultural contexts of their disability rights movements.</w:t>
      </w:r>
    </w:p>
    <w:p w14:paraId="6F0D2CA3" w14:textId="5C728A37" w:rsidR="003C7A92" w:rsidRDefault="003C7A92" w:rsidP="003C7A92">
      <w:pPr>
        <w:pStyle w:val="Quote"/>
      </w:pPr>
      <w:r w:rsidRPr="003C7A92">
        <w:t>The ratification matters, because it recognizes the value of every human being. The government is now obligated to report on its progress to promote disability rights. This also gives us hope to have a national disability rights act in the future. We need equity to be the fabric of our society.”</w:t>
      </w:r>
      <w:r w:rsidR="00602DD5">
        <w:t xml:space="preserve"> - </w:t>
      </w:r>
      <w:r w:rsidRPr="003C7A92">
        <w:t xml:space="preserve">Simon </w:t>
      </w:r>
      <w:proofErr w:type="spellStart"/>
      <w:r w:rsidRPr="003C7A92">
        <w:t>Dolaiano</w:t>
      </w:r>
      <w:proofErr w:type="spellEnd"/>
      <w:r>
        <w:t xml:space="preserve">, </w:t>
      </w:r>
      <w:r w:rsidRPr="003C7A92">
        <w:t>President, People with Disabilities Solomon Islands</w:t>
      </w:r>
    </w:p>
    <w:p w14:paraId="7A51467F" w14:textId="0C1AA708" w:rsidR="00985248" w:rsidRDefault="00985248" w:rsidP="00985248">
      <w:pPr>
        <w:pStyle w:val="Heading1"/>
      </w:pPr>
      <w:r w:rsidRPr="00985248">
        <w:t>Peer and Collective Learning in Pacific Island Nations</w:t>
      </w:r>
    </w:p>
    <w:p w14:paraId="12AC21D7" w14:textId="00B9AFC9" w:rsidR="00985248" w:rsidRPr="00602DD5" w:rsidRDefault="00985248" w:rsidP="00985248">
      <w:r w:rsidRPr="00985248">
        <w:t xml:space="preserve">DRF co-hosted a grantee convening in Fiji with the Pacific Disability Forum, which gathered 32 OPDs from 11 Pacific Islands nations! This gathering celebrated a uniquely Pacific movement for inclusion—one that's deeply embedded in the rich cultural heritage and Indigenous values of collective wellbeing. From Bougainville to Palau, a diversity of disability advocates gathered to share stories, successful advocacy strategies, and challenges they face to advocate for disability rights. From inclusive </w:t>
      </w:r>
      <w:r w:rsidRPr="00985248">
        <w:lastRenderedPageBreak/>
        <w:t xml:space="preserve">climate and gender justice to economic security, Pacific OPDs are </w:t>
      </w:r>
      <w:r w:rsidRPr="00602DD5">
        <w:t>a</w:t>
      </w:r>
      <w:r w:rsidRPr="00985248">
        <w:t>dvocating for the full participation of persons with disabilities to build just communities.</w:t>
      </w:r>
    </w:p>
    <w:p w14:paraId="360FE4F1" w14:textId="77777777" w:rsidR="00985248" w:rsidRPr="00985248" w:rsidRDefault="00985248" w:rsidP="00985248">
      <w:pPr>
        <w:spacing w:after="160"/>
      </w:pPr>
      <w:r w:rsidRPr="00985248">
        <w:t xml:space="preserve">We were energized to see an abundance of women-led OPDs in the Pacific working on the intersection of inclusion, sexual and reproductive health and rights (SRHR), psychosocial health, climate justice, and more. An impressive 30% of the advocates at the gathering were youth with disabilities—a promising sign for the future. Last but not the least, we were thrilled to be joined by the Disability Pride Hub, the very first LGBTQI-led OPD in the Pacific. </w:t>
      </w:r>
    </w:p>
    <w:p w14:paraId="47294DFA" w14:textId="4B49B2B7" w:rsidR="00985248" w:rsidRDefault="00985248" w:rsidP="00985248">
      <w:pPr>
        <w:pStyle w:val="Quote"/>
      </w:pPr>
      <w:r w:rsidRPr="00985248">
        <w:t>As a proud Samoan woman with a disability, I am filled with joy witnessing our shared power and unity at this Pacific grantee convening. We have come a long way, and our journey is far from over to realize our bold Pacific visions for inclusion. We are on fire, and we will not be left behind! Now, it’s time for donors and development actors to break their silos and deliver on their promises on intersectionality!"</w:t>
      </w:r>
      <w:r w:rsidR="00602DD5">
        <w:t xml:space="preserve"> - </w:t>
      </w:r>
      <w:proofErr w:type="spellStart"/>
      <w:r w:rsidRPr="00985248">
        <w:t>Faaolo</w:t>
      </w:r>
      <w:proofErr w:type="spellEnd"/>
      <w:r w:rsidRPr="00985248">
        <w:t xml:space="preserve"> </w:t>
      </w:r>
      <w:proofErr w:type="spellStart"/>
      <w:r w:rsidRPr="00985248">
        <w:t>Utumapu-Utailesolo</w:t>
      </w:r>
      <w:proofErr w:type="spellEnd"/>
      <w:r>
        <w:t xml:space="preserve">, </w:t>
      </w:r>
      <w:r w:rsidRPr="00985248">
        <w:t xml:space="preserve">Program Officer for Pacific Island Nations </w:t>
      </w:r>
    </w:p>
    <w:p w14:paraId="1CB19018" w14:textId="77777777" w:rsidR="00231636" w:rsidRDefault="00231636" w:rsidP="00231636">
      <w:pPr>
        <w:pStyle w:val="Heading1"/>
      </w:pPr>
      <w:r w:rsidRPr="00231636">
        <w:t>The Story of Our New Brand</w:t>
      </w:r>
    </w:p>
    <w:p w14:paraId="6DA58E2C" w14:textId="77777777" w:rsidR="001D3484" w:rsidRPr="001D3484" w:rsidRDefault="001D3484" w:rsidP="001D3484">
      <w:pPr>
        <w:spacing w:before="0" w:after="160"/>
      </w:pPr>
      <w:r w:rsidRPr="001D3484">
        <w:t xml:space="preserve">DRF’s new brand identity is a bold reflection of our commitment to inclusion and the power of grassroots disability rights movements. Our refreshed logo symbolizes the diversity and journeys of these movements, with rays representing unity, convergence, and collective action. </w:t>
      </w:r>
    </w:p>
    <w:p w14:paraId="3FAA7916" w14:textId="034C16AA" w:rsidR="001D3484" w:rsidRDefault="001D3484" w:rsidP="001D3484">
      <w:r w:rsidRPr="001D3484">
        <w:t xml:space="preserve">The creation of this new brand was a collaborative and participatory process, enriched by the insights and voices of our global staff, grantees, donors, and board members. Throughout this journey, they expressed how vital and vibrant DRF’s work is, emphasizing that the evolution of our organization mirrors the blossoming progress of global disability rights movements. Together, we are advancing the vision of ‘Nothing About Us Without Us’ and moving toward a more just </w:t>
      </w:r>
      <w:r w:rsidRPr="001D3484">
        <w:br/>
        <w:t>and inclusive world for all.</w:t>
      </w:r>
    </w:p>
    <w:p w14:paraId="46B2D1C9" w14:textId="0DF78BCF" w:rsidR="005362CB" w:rsidRDefault="005362CB" w:rsidP="005362CB">
      <w:pPr>
        <w:pStyle w:val="Quote"/>
      </w:pPr>
      <w:r>
        <w:t>“</w:t>
      </w:r>
      <w:r w:rsidRPr="005362CB">
        <w:t>This dynamic design aligns with DRF’s core values of deepening solidarity and working together for disability-led futures, capturing our vision of 'Disability Rights for Everyone Everywhere.’"</w:t>
      </w:r>
      <w:r w:rsidR="00602DD5">
        <w:t xml:space="preserve">- </w:t>
      </w:r>
      <w:r w:rsidRPr="005362CB">
        <w:t>Rucha Chitnis, Communications Director</w:t>
      </w:r>
    </w:p>
    <w:p w14:paraId="70549C8D" w14:textId="77777777" w:rsidR="0026584C" w:rsidRDefault="0026584C" w:rsidP="0026584C">
      <w:pPr>
        <w:pStyle w:val="Heading1"/>
      </w:pPr>
      <w:r w:rsidRPr="0026584C">
        <w:t>Our Impact</w:t>
      </w:r>
    </w:p>
    <w:p w14:paraId="6317F31D" w14:textId="77777777" w:rsidR="0026584C" w:rsidRPr="0026584C" w:rsidRDefault="0026584C" w:rsidP="0026584C">
      <w:pPr>
        <w:spacing w:before="0" w:after="160"/>
      </w:pPr>
      <w:r w:rsidRPr="0026584C">
        <w:t xml:space="preserve">In 2023, an independent external evaluation was completed, which reviewed DRF and DRAF activities between 2019-2022. Through a participatory design process, we gathered evidence on the impact of technical assistance DRF and DRAF provided to OPDs. We also explored diversity fostered within disability movements, particularly gender inclusion. We also examined how grantees in Fiji, Indonesia, and Nigeria </w:t>
      </w:r>
      <w:r w:rsidRPr="0026584C">
        <w:lastRenderedPageBreak/>
        <w:t xml:space="preserve">contributed to advocacy wins ranging from inclusive elections to gender-based violence prevention and outlined these wins in six spotlight stories. </w:t>
      </w:r>
    </w:p>
    <w:p w14:paraId="28D69506" w14:textId="77777777" w:rsidR="0026584C" w:rsidRPr="0026584C" w:rsidRDefault="0026584C" w:rsidP="0026584C">
      <w:pPr>
        <w:spacing w:before="0" w:after="160"/>
      </w:pPr>
      <w:proofErr w:type="gramStart"/>
      <w:r w:rsidRPr="0026584C">
        <w:t>It is clear that the</w:t>
      </w:r>
      <w:proofErr w:type="gramEnd"/>
      <w:r w:rsidRPr="0026584C">
        <w:t xml:space="preserve"> advocacy wins of OPDs are dependent on contributing factors, like organizational capacity, governments’ understanding of disability rights, and the advocacy skills of disability activists. </w:t>
      </w:r>
    </w:p>
    <w:p w14:paraId="77425032" w14:textId="10C0687F" w:rsidR="0026584C" w:rsidRDefault="0026584C" w:rsidP="0026584C">
      <w:r w:rsidRPr="0026584C">
        <w:t xml:space="preserve">Demonstrating our commitment to best practices in evaluation, DRF provided a management response and ensured the findings were accessible by translating the report into Bahasa, French, and Easy Read formats. You can explore the full report and spotlight stories </w:t>
      </w:r>
      <w:r w:rsidRPr="00154BD1">
        <w:t>on ‘</w:t>
      </w:r>
      <w:hyperlink r:id="rId9" w:history="1">
        <w:r w:rsidRPr="00154BD1">
          <w:rPr>
            <w:rStyle w:val="Hyperlink"/>
            <w:u w:val="single"/>
          </w:rPr>
          <w:t>Our Impact</w:t>
        </w:r>
        <w:r w:rsidRPr="00154BD1">
          <w:rPr>
            <w:rStyle w:val="Hyperlink"/>
            <w:u w:val="none"/>
          </w:rPr>
          <w:t>’</w:t>
        </w:r>
      </w:hyperlink>
      <w:r w:rsidRPr="00154BD1">
        <w:t xml:space="preserve"> page</w:t>
      </w:r>
      <w:r w:rsidRPr="0026584C">
        <w:t xml:space="preserve"> of DRF’s new website.</w:t>
      </w:r>
    </w:p>
    <w:p w14:paraId="04DAA988" w14:textId="77777777" w:rsidR="0026584C" w:rsidRDefault="0026584C" w:rsidP="0026584C">
      <w:pPr>
        <w:pStyle w:val="Heading1"/>
      </w:pPr>
      <w:r w:rsidRPr="0026584C">
        <w:t>Grantee Testimonial</w:t>
      </w:r>
    </w:p>
    <w:p w14:paraId="4FC1552A" w14:textId="7ACFEADC" w:rsidR="0026584C" w:rsidRDefault="0026584C" w:rsidP="0026584C">
      <w:pPr>
        <w:pStyle w:val="Quote"/>
      </w:pPr>
      <w:r>
        <w:t>“</w:t>
      </w:r>
      <w:r w:rsidRPr="0026584C">
        <w:t xml:space="preserve">With DRF's support, the Indonesia Mental Health Association (IMHA) has become a recognized disability rights organization in Indonesia. IMHA has successfully mainstreamed psychosocial disability issues into the national disability rights agenda. We have been at the forefront of many cross-disability advocacy efforts, such as the Sexual Violence Bill, climate change, </w:t>
      </w:r>
      <w:r w:rsidRPr="0026584C">
        <w:br/>
        <w:t>and social protection policies."</w:t>
      </w:r>
      <w:r w:rsidR="00602DD5">
        <w:t xml:space="preserve"> - </w:t>
      </w:r>
      <w:r w:rsidRPr="0026584C">
        <w:t>Yeni Rosa Damayanti,</w:t>
      </w:r>
      <w:r>
        <w:rPr>
          <w:b/>
          <w:bCs/>
        </w:rPr>
        <w:t xml:space="preserve"> </w:t>
      </w:r>
      <w:r w:rsidRPr="0026584C">
        <w:t>Chairperson, Indonesia Mental Health Association</w:t>
      </w:r>
    </w:p>
    <w:p w14:paraId="614DAA93" w14:textId="135BA52B" w:rsidR="0026584C" w:rsidRPr="0026584C" w:rsidRDefault="0026584C" w:rsidP="0026584C">
      <w:pPr>
        <w:pStyle w:val="Quote"/>
      </w:pPr>
      <w:r w:rsidRPr="0026584C">
        <w:t>Founding the first Dalit with disabilities-led organization gives us the opportunity to advocate for our rights, dignity, and respect. This is a historical milestone for us as we are one of the most marginalized and underrepresented groups in Nepal. The support of DRF has been instrumental for us to organize, create our vision, and move forward to claim our rights and remove intersectional barriers that we have faced within and beyond the movement. We value DRF's commitment to partnering with underrepresented groups whose voices must be heard and mainstreamed."</w:t>
      </w:r>
      <w:r w:rsidR="00602DD5">
        <w:t xml:space="preserve"> - </w:t>
      </w:r>
      <w:proofErr w:type="spellStart"/>
      <w:r w:rsidRPr="0026584C">
        <w:t>Pampha</w:t>
      </w:r>
      <w:proofErr w:type="spellEnd"/>
      <w:r w:rsidRPr="0026584C">
        <w:t xml:space="preserve"> </w:t>
      </w:r>
      <w:proofErr w:type="spellStart"/>
      <w:r w:rsidRPr="0026584C">
        <w:t>Purkoti</w:t>
      </w:r>
      <w:proofErr w:type="spellEnd"/>
      <w:r>
        <w:t xml:space="preserve">, </w:t>
      </w:r>
      <w:r w:rsidRPr="0026584C">
        <w:t>Acting President of Dalit with Disabilities Association</w:t>
      </w:r>
    </w:p>
    <w:p w14:paraId="3EE06C06" w14:textId="3379F086" w:rsidR="0026584C" w:rsidRDefault="00602DD5" w:rsidP="00602DD5">
      <w:pPr>
        <w:pStyle w:val="Heading1"/>
        <w:rPr>
          <w:b w:val="0"/>
          <w:bCs/>
        </w:rPr>
      </w:pPr>
      <w:r w:rsidRPr="00602DD5">
        <w:t xml:space="preserve">Shifting the Power for Inclusion: </w:t>
      </w:r>
      <w:r w:rsidRPr="00602DD5">
        <w:rPr>
          <w:bCs/>
        </w:rPr>
        <w:t>Donor Perspectives on DRF</w:t>
      </w:r>
    </w:p>
    <w:p w14:paraId="5900AB5B" w14:textId="08DA0355" w:rsidR="00602DD5" w:rsidRPr="00602DD5" w:rsidRDefault="00602DD5" w:rsidP="00602DD5">
      <w:pPr>
        <w:pStyle w:val="Quote"/>
      </w:pPr>
      <w:r>
        <w:t>“</w:t>
      </w:r>
      <w:r w:rsidRPr="00602DD5">
        <w:t>DFAT values our longstanding partnership with DRAF. This has helped us support the leadership and work of grassroot OPDs, including of women with disabilities in all their diversity. DRAF has supported OPDs to mobilize diverse and at-risk populations to strengthen diversity in the disability rights movement in Indonesia and the Pacific. DRAF has supported OPDs to have a strong platform to contribute to critical regional and global advocacy, and to contribute to the consultation process for DFAT policy and strategy work, including Australia’s forthcoming International Disability Equity and Rights Strategy.”</w:t>
      </w:r>
      <w:r>
        <w:t xml:space="preserve"> - </w:t>
      </w:r>
      <w:r w:rsidRPr="00602DD5">
        <w:t>Sarah Goulding</w:t>
      </w:r>
      <w:r>
        <w:t xml:space="preserve">, </w:t>
      </w:r>
      <w:r w:rsidRPr="00602DD5">
        <w:t>Former Assistant Secretary and Principal Specialist Gender Equality, Department of Foreign Affairs and Trade (DFAT), Australia</w:t>
      </w:r>
    </w:p>
    <w:p w14:paraId="1F362BEB" w14:textId="77777777" w:rsidR="00602DD5" w:rsidRPr="00602DD5" w:rsidRDefault="00602DD5" w:rsidP="00602DD5">
      <w:pPr>
        <w:pStyle w:val="Heading1"/>
      </w:pPr>
      <w:r w:rsidRPr="00602DD5">
        <w:lastRenderedPageBreak/>
        <w:t>Donor Perspectives on DRF</w:t>
      </w:r>
    </w:p>
    <w:p w14:paraId="11D6677A" w14:textId="632313B8" w:rsidR="00602DD5" w:rsidRDefault="00602DD5" w:rsidP="00602DD5">
      <w:pPr>
        <w:pStyle w:val="Quote"/>
      </w:pPr>
      <w:r w:rsidRPr="00602DD5">
        <w:t xml:space="preserve">“I can see the embedded commitment DRF has to funding disabled-led intersectional projects in the Global South, and I’m all about that! It’s about disabled people believing in and supporting each other to create the world we want—both envisioning that within our organizing and other fields of work, as well as 'out there' in public.” </w:t>
      </w:r>
      <w:r>
        <w:t xml:space="preserve">- </w:t>
      </w:r>
      <w:r w:rsidRPr="00602DD5">
        <w:t>Áine Kelly-Costello</w:t>
      </w:r>
      <w:r>
        <w:t xml:space="preserve">, </w:t>
      </w:r>
      <w:r w:rsidRPr="00602DD5">
        <w:t xml:space="preserve">Storyteller, Researcher, Advocate   </w:t>
      </w:r>
    </w:p>
    <w:p w14:paraId="740C01C5" w14:textId="77777777" w:rsidR="00602DD5" w:rsidRDefault="00602DD5" w:rsidP="00602DD5">
      <w:pPr>
        <w:pStyle w:val="Heading1"/>
      </w:pPr>
      <w:r w:rsidRPr="00602DD5">
        <w:t>Gratitude</w:t>
      </w:r>
    </w:p>
    <w:p w14:paraId="52D4ED3D" w14:textId="77777777" w:rsidR="00602DD5" w:rsidRPr="00602DD5" w:rsidRDefault="00602DD5" w:rsidP="002053AF">
      <w:pPr>
        <w:spacing w:after="160"/>
      </w:pPr>
      <w:r w:rsidRPr="00602DD5">
        <w:t>We extend our gratitude to all our donors for generously resourcing movements and our organizations.</w:t>
      </w:r>
    </w:p>
    <w:p w14:paraId="0BDCDD9A" w14:textId="77777777" w:rsidR="00602DD5" w:rsidRPr="00602DD5" w:rsidRDefault="00602DD5" w:rsidP="002053AF">
      <w:pPr>
        <w:spacing w:after="160"/>
      </w:pPr>
      <w:r w:rsidRPr="00602DD5">
        <w:t xml:space="preserve">DRF was supported by United States Department of State’s Bureau of Democracy, Human Rights, and Labor (DRL); U.K. Government's Foreign, Commonwealth and Development Office; Adobe Foundation; the Ansara Family Fund at the Boston Foundation; Channel Foundation; </w:t>
      </w:r>
      <w:proofErr w:type="spellStart"/>
      <w:r w:rsidRPr="00602DD5">
        <w:t>Dreilinden</w:t>
      </w:r>
      <w:proofErr w:type="spellEnd"/>
      <w:r w:rsidRPr="00602DD5">
        <w:t xml:space="preserve">; Expedia Group; the Jacob &amp; Hilda Blaustein Foundation; Ford Foundation; Foundation for a Just Society; the Global Fund for Women; Joseph P. Kennedy, Jr. Foundation; MacKenzie Scott; Mina Fund; Oak Foundation; Schmidt Family Foundation; WE Trust; and Wellspring Philanthropic Fund.  </w:t>
      </w:r>
    </w:p>
    <w:p w14:paraId="332E08B4" w14:textId="77777777" w:rsidR="00602DD5" w:rsidRPr="00602DD5" w:rsidRDefault="00602DD5" w:rsidP="002053AF">
      <w:pPr>
        <w:spacing w:after="160"/>
      </w:pPr>
      <w:r w:rsidRPr="00602DD5">
        <w:t>A big thanks as well to our individual donors for resourcing inclusion.</w:t>
      </w:r>
    </w:p>
    <w:p w14:paraId="0810BE3B" w14:textId="51E44384" w:rsidR="00602DD5" w:rsidRPr="00602DD5" w:rsidRDefault="00602DD5" w:rsidP="002053AF">
      <w:pPr>
        <w:spacing w:after="160"/>
      </w:pPr>
      <w:r w:rsidRPr="00602DD5">
        <w:t>DRAF was supported by the Government of Australia’s Department of Foreign Affairs and Trade and the Robert Bosch Stiftung.</w:t>
      </w:r>
    </w:p>
    <w:p w14:paraId="39034CE4" w14:textId="2BB4423F" w:rsidR="00602DD5" w:rsidRDefault="00602DD5" w:rsidP="002053AF">
      <w:r w:rsidRPr="00602DD5">
        <w:t xml:space="preserve">The views expressed in this communication do not necessarily reflect the official policies of any of our donors or the governments they represent. See our </w:t>
      </w:r>
      <w:hyperlink r:id="rId10" w:history="1">
        <w:r w:rsidRPr="002053AF">
          <w:rPr>
            <w:rStyle w:val="Hyperlink"/>
            <w:u w:val="single"/>
          </w:rPr>
          <w:t>current donor list here</w:t>
        </w:r>
      </w:hyperlink>
      <w:r w:rsidRPr="00602DD5">
        <w:t>.</w:t>
      </w:r>
    </w:p>
    <w:p w14:paraId="127ADC18" w14:textId="6487080D" w:rsidR="00602DD5" w:rsidRDefault="00602DD5" w:rsidP="00602DD5">
      <w:pPr>
        <w:pStyle w:val="Quote"/>
      </w:pPr>
      <w:r>
        <w:t>“</w:t>
      </w:r>
      <w:r w:rsidRPr="00602DD5">
        <w:t xml:space="preserve">When DRF began, our resource mobilization focused on fundraising to support OPDs. Now, after 15 years, it’s about more than just securing funds for DRF—it’s about advocating for donors to be more inclusive and flexible in their funding and mobilizing resources for the movement.” </w:t>
      </w:r>
      <w:r>
        <w:t xml:space="preserve">- </w:t>
      </w:r>
      <w:r w:rsidRPr="00602DD5">
        <w:t xml:space="preserve">Jen </w:t>
      </w:r>
      <w:proofErr w:type="spellStart"/>
      <w:r w:rsidRPr="00602DD5">
        <w:t>Bokoff</w:t>
      </w:r>
      <w:proofErr w:type="spellEnd"/>
      <w:r w:rsidRPr="00602DD5">
        <w:t xml:space="preserve">, Director of Development  </w:t>
      </w:r>
    </w:p>
    <w:p w14:paraId="66A064A0" w14:textId="77777777" w:rsidR="00154BD1" w:rsidRPr="00154BD1" w:rsidRDefault="00154BD1" w:rsidP="002053AF">
      <w:pPr>
        <w:pStyle w:val="Heading1"/>
      </w:pPr>
      <w:r w:rsidRPr="00154BD1">
        <w:t>Grantmaking Data</w:t>
      </w:r>
    </w:p>
    <w:p w14:paraId="57E5AC46" w14:textId="4D37BA39" w:rsidR="00154BD1" w:rsidRDefault="00154BD1" w:rsidP="00154BD1">
      <w:r w:rsidRPr="00154BD1">
        <w:t>In 2023, DRF and DRAF awarded 197 grants to 142 organizations for $6,027,200 USD</w:t>
      </w:r>
    </w:p>
    <w:p w14:paraId="2C8CAB1B" w14:textId="5883DC95" w:rsidR="00154BD1" w:rsidRPr="00154BD1" w:rsidRDefault="00154BD1" w:rsidP="00154BD1">
      <w:pPr>
        <w:pStyle w:val="ListParagraph"/>
        <w:numPr>
          <w:ilvl w:val="0"/>
          <w:numId w:val="4"/>
        </w:numPr>
      </w:pPr>
      <w:r w:rsidRPr="00154BD1">
        <w:t>Global (United Kingdom, United States): 2 grants = $410,000</w:t>
      </w:r>
    </w:p>
    <w:p w14:paraId="52FED099" w14:textId="20CDFCDA" w:rsidR="00154BD1" w:rsidRDefault="00154BD1" w:rsidP="00154BD1">
      <w:pPr>
        <w:pStyle w:val="ListParagraph"/>
        <w:numPr>
          <w:ilvl w:val="0"/>
          <w:numId w:val="4"/>
        </w:numPr>
      </w:pPr>
      <w:r w:rsidRPr="00154BD1">
        <w:t>Africa (Ghana, Malawi, Nigeria, Rwanda, Uganda): 97 grants = $2,678,900</w:t>
      </w:r>
    </w:p>
    <w:p w14:paraId="28BF945A" w14:textId="029569A5" w:rsidR="00154BD1" w:rsidRPr="00154BD1" w:rsidRDefault="00154BD1" w:rsidP="00154BD1">
      <w:pPr>
        <w:pStyle w:val="ListParagraph"/>
        <w:numPr>
          <w:ilvl w:val="0"/>
          <w:numId w:val="4"/>
        </w:numPr>
      </w:pPr>
      <w:r w:rsidRPr="00154BD1">
        <w:t>Asia (Bangladesh, Indonesia, Nepal): 52 grants = $1,710,000</w:t>
      </w:r>
    </w:p>
    <w:p w14:paraId="0C0EAB39" w14:textId="2F5E8793" w:rsidR="00154BD1" w:rsidRPr="00154BD1" w:rsidRDefault="00154BD1" w:rsidP="00154BD1">
      <w:pPr>
        <w:pStyle w:val="ListParagraph"/>
        <w:numPr>
          <w:ilvl w:val="0"/>
          <w:numId w:val="4"/>
        </w:numPr>
      </w:pPr>
      <w:r w:rsidRPr="00154BD1">
        <w:t>Caribbean (Haiti): 22 grants = $470,900</w:t>
      </w:r>
    </w:p>
    <w:p w14:paraId="2DF20C03" w14:textId="575F12DC" w:rsidR="00154BD1" w:rsidRPr="00154BD1" w:rsidRDefault="00154BD1" w:rsidP="00154BD1">
      <w:pPr>
        <w:pStyle w:val="ListParagraph"/>
        <w:numPr>
          <w:ilvl w:val="0"/>
          <w:numId w:val="4"/>
        </w:numPr>
      </w:pPr>
      <w:r w:rsidRPr="00154BD1">
        <w:t xml:space="preserve">Pacific Islands </w:t>
      </w:r>
      <w:r w:rsidRPr="00154BD1">
        <w:rPr>
          <w:rFonts w:asciiTheme="minorHAnsi" w:hAnsiTheme="minorHAnsi"/>
        </w:rPr>
        <w:t>(Fiji, Kiribati, Palau, Papua New Guinea, Samoa, Solomon Islands, Tonga)</w:t>
      </w:r>
      <w:r w:rsidRPr="00154BD1">
        <w:t>:</w:t>
      </w:r>
      <w:r w:rsidRPr="00154BD1">
        <w:rPr>
          <w:rFonts w:asciiTheme="minorHAnsi" w:hAnsiTheme="minorHAnsi"/>
        </w:rPr>
        <w:br/>
      </w:r>
      <w:r w:rsidRPr="00154BD1">
        <w:t>24 grants = $757,400</w:t>
      </w:r>
    </w:p>
    <w:p w14:paraId="3D65B42A" w14:textId="7F6C6943" w:rsidR="00154BD1" w:rsidRPr="002053AF" w:rsidRDefault="00154BD1" w:rsidP="00154BD1">
      <w:pPr>
        <w:rPr>
          <w:u w:val="single"/>
        </w:rPr>
      </w:pPr>
      <w:hyperlink r:id="rId11" w:history="1">
        <w:r w:rsidRPr="002053AF">
          <w:rPr>
            <w:rStyle w:val="Hyperlink"/>
            <w:u w:val="single"/>
          </w:rPr>
          <w:t>Click here to view the full directory of 2023 grants</w:t>
        </w:r>
      </w:hyperlink>
    </w:p>
    <w:p w14:paraId="232CF888" w14:textId="56EAC2B6" w:rsidR="00154BD1" w:rsidRDefault="002053AF" w:rsidP="00CD1E93">
      <w:pPr>
        <w:pStyle w:val="Heading1"/>
      </w:pPr>
      <w:r w:rsidRPr="002053AF">
        <w:t>2023 Financials</w:t>
      </w:r>
    </w:p>
    <w:tbl>
      <w:tblPr>
        <w:tblStyle w:val="TableGrid"/>
        <w:tblW w:w="0" w:type="auto"/>
        <w:tblLook w:val="04A0" w:firstRow="1" w:lastRow="0" w:firstColumn="1" w:lastColumn="0" w:noHBand="0" w:noVBand="1"/>
      </w:tblPr>
      <w:tblGrid>
        <w:gridCol w:w="3505"/>
        <w:gridCol w:w="1620"/>
        <w:gridCol w:w="1530"/>
        <w:gridCol w:w="1710"/>
        <w:gridCol w:w="985"/>
      </w:tblGrid>
      <w:tr w:rsidR="003B4C79" w14:paraId="209E8544" w14:textId="77777777" w:rsidTr="003B4C79">
        <w:tc>
          <w:tcPr>
            <w:tcW w:w="3505" w:type="dxa"/>
            <w:vAlign w:val="center"/>
          </w:tcPr>
          <w:p w14:paraId="14B6A82F" w14:textId="77777777" w:rsidR="003B4C79" w:rsidRDefault="003B4C79" w:rsidP="0049183F">
            <w:pPr>
              <w:spacing w:beforeLines="40" w:before="96" w:afterLines="40" w:after="96"/>
            </w:pPr>
          </w:p>
        </w:tc>
        <w:tc>
          <w:tcPr>
            <w:tcW w:w="1620" w:type="dxa"/>
            <w:vAlign w:val="center"/>
          </w:tcPr>
          <w:p w14:paraId="3E5ED84F" w14:textId="6BB2D0A9" w:rsidR="003B4C79" w:rsidRDefault="003B4C79" w:rsidP="0049183F">
            <w:pPr>
              <w:spacing w:beforeLines="40" w:before="96" w:afterLines="40" w:after="96"/>
            </w:pPr>
            <w:r w:rsidRPr="00CD1E93">
              <w:rPr>
                <w:b/>
                <w:bCs/>
              </w:rPr>
              <w:t>DRF</w:t>
            </w:r>
          </w:p>
        </w:tc>
        <w:tc>
          <w:tcPr>
            <w:tcW w:w="1530" w:type="dxa"/>
          </w:tcPr>
          <w:p w14:paraId="579D223E" w14:textId="45FBDAD5" w:rsidR="003B4C79" w:rsidRDefault="003B4C79" w:rsidP="0049183F">
            <w:pPr>
              <w:spacing w:beforeLines="40" w:before="96" w:afterLines="40" w:after="96"/>
            </w:pPr>
            <w:r w:rsidRPr="00CD1E93">
              <w:rPr>
                <w:b/>
                <w:bCs/>
              </w:rPr>
              <w:t>DRAF</w:t>
            </w:r>
          </w:p>
        </w:tc>
        <w:tc>
          <w:tcPr>
            <w:tcW w:w="1710" w:type="dxa"/>
          </w:tcPr>
          <w:p w14:paraId="423792AB" w14:textId="6A06E588" w:rsidR="003B4C79" w:rsidRDefault="003B4C79" w:rsidP="0049183F">
            <w:pPr>
              <w:spacing w:beforeLines="40" w:before="96" w:afterLines="40" w:after="96"/>
            </w:pPr>
            <w:r w:rsidRPr="00CD1E93">
              <w:rPr>
                <w:b/>
                <w:bCs/>
              </w:rPr>
              <w:t>Total</w:t>
            </w:r>
          </w:p>
        </w:tc>
        <w:tc>
          <w:tcPr>
            <w:tcW w:w="985" w:type="dxa"/>
          </w:tcPr>
          <w:p w14:paraId="69028468" w14:textId="25A08F8A" w:rsidR="003B4C79" w:rsidRDefault="003B4C79" w:rsidP="0049183F">
            <w:pPr>
              <w:spacing w:beforeLines="40" w:before="96" w:afterLines="40" w:after="96"/>
            </w:pPr>
            <w:r w:rsidRPr="00CD1E93">
              <w:rPr>
                <w:b/>
                <w:bCs/>
              </w:rPr>
              <w:t>%</w:t>
            </w:r>
          </w:p>
        </w:tc>
      </w:tr>
      <w:tr w:rsidR="003B4C79" w14:paraId="67D49887" w14:textId="77777777" w:rsidTr="0028203C">
        <w:tc>
          <w:tcPr>
            <w:tcW w:w="9350" w:type="dxa"/>
            <w:gridSpan w:val="5"/>
            <w:vAlign w:val="center"/>
          </w:tcPr>
          <w:p w14:paraId="4E211FFA" w14:textId="68AC3759" w:rsidR="003B4C79" w:rsidRDefault="003B4C79" w:rsidP="0049183F">
            <w:pPr>
              <w:spacing w:beforeLines="40" w:before="96" w:afterLines="40" w:after="96"/>
            </w:pPr>
            <w:r w:rsidRPr="00CD1E93">
              <w:t>Revenue</w:t>
            </w:r>
          </w:p>
        </w:tc>
      </w:tr>
      <w:tr w:rsidR="003B4C79" w14:paraId="2AA08DCA" w14:textId="77777777" w:rsidTr="003B4C79">
        <w:tc>
          <w:tcPr>
            <w:tcW w:w="3505" w:type="dxa"/>
            <w:vAlign w:val="center"/>
          </w:tcPr>
          <w:p w14:paraId="61EC63A9" w14:textId="3241DFD8" w:rsidR="003B4C79" w:rsidRDefault="003B4C79" w:rsidP="0049183F">
            <w:pPr>
              <w:spacing w:beforeLines="40" w:before="96" w:afterLines="40" w:after="96"/>
              <w:ind w:hanging="20"/>
            </w:pPr>
            <w:r w:rsidRPr="00CD1E93">
              <w:t>Restricted</w:t>
            </w:r>
          </w:p>
        </w:tc>
        <w:tc>
          <w:tcPr>
            <w:tcW w:w="1620" w:type="dxa"/>
            <w:vAlign w:val="center"/>
          </w:tcPr>
          <w:p w14:paraId="44B82475" w14:textId="77777777" w:rsidR="003B4C79" w:rsidRDefault="003B4C79" w:rsidP="0049183F">
            <w:pPr>
              <w:spacing w:beforeLines="40" w:before="96" w:afterLines="40" w:after="96"/>
            </w:pPr>
          </w:p>
        </w:tc>
        <w:tc>
          <w:tcPr>
            <w:tcW w:w="1530" w:type="dxa"/>
          </w:tcPr>
          <w:p w14:paraId="675B8314" w14:textId="77777777" w:rsidR="003B4C79" w:rsidRDefault="003B4C79" w:rsidP="0049183F">
            <w:pPr>
              <w:spacing w:beforeLines="40" w:before="96" w:afterLines="40" w:after="96"/>
            </w:pPr>
          </w:p>
        </w:tc>
        <w:tc>
          <w:tcPr>
            <w:tcW w:w="1710" w:type="dxa"/>
          </w:tcPr>
          <w:p w14:paraId="3CC089A8" w14:textId="77777777" w:rsidR="003B4C79" w:rsidRDefault="003B4C79" w:rsidP="0049183F">
            <w:pPr>
              <w:spacing w:beforeLines="40" w:before="96" w:afterLines="40" w:after="96"/>
            </w:pPr>
          </w:p>
        </w:tc>
        <w:tc>
          <w:tcPr>
            <w:tcW w:w="985" w:type="dxa"/>
          </w:tcPr>
          <w:p w14:paraId="416DC161" w14:textId="77777777" w:rsidR="003B4C79" w:rsidRDefault="003B4C79" w:rsidP="0049183F">
            <w:pPr>
              <w:spacing w:beforeLines="40" w:before="96" w:afterLines="40" w:after="96"/>
            </w:pPr>
          </w:p>
        </w:tc>
      </w:tr>
      <w:tr w:rsidR="003B4C79" w14:paraId="33CEE635" w14:textId="77777777" w:rsidTr="003B4C79">
        <w:tc>
          <w:tcPr>
            <w:tcW w:w="3505" w:type="dxa"/>
            <w:vAlign w:val="center"/>
          </w:tcPr>
          <w:p w14:paraId="6C6C5945" w14:textId="24352056" w:rsidR="003B4C79" w:rsidRDefault="003B4C79" w:rsidP="0049183F">
            <w:pPr>
              <w:spacing w:beforeLines="40" w:before="96" w:afterLines="40" w:after="96"/>
              <w:ind w:firstLine="250"/>
            </w:pPr>
            <w:r w:rsidRPr="00CD1E93">
              <w:t xml:space="preserve">Government </w:t>
            </w:r>
          </w:p>
        </w:tc>
        <w:tc>
          <w:tcPr>
            <w:tcW w:w="1620" w:type="dxa"/>
            <w:vAlign w:val="center"/>
          </w:tcPr>
          <w:p w14:paraId="13A99292" w14:textId="252645EE" w:rsidR="003B4C79" w:rsidRDefault="003B4C79" w:rsidP="0049183F">
            <w:pPr>
              <w:spacing w:beforeLines="40" w:before="96" w:afterLines="40" w:after="96"/>
            </w:pPr>
            <w:r w:rsidRPr="00CD1E93">
              <w:t>$1,244,722</w:t>
            </w:r>
          </w:p>
        </w:tc>
        <w:tc>
          <w:tcPr>
            <w:tcW w:w="1530" w:type="dxa"/>
            <w:vAlign w:val="center"/>
          </w:tcPr>
          <w:p w14:paraId="6B68B118" w14:textId="48558843" w:rsidR="003B4C79" w:rsidRDefault="003B4C79" w:rsidP="0049183F">
            <w:pPr>
              <w:spacing w:beforeLines="40" w:before="96" w:afterLines="40" w:after="96"/>
            </w:pPr>
            <w:r w:rsidRPr="00CD1E93">
              <w:t>$1,745,552</w:t>
            </w:r>
          </w:p>
        </w:tc>
        <w:tc>
          <w:tcPr>
            <w:tcW w:w="1710" w:type="dxa"/>
            <w:vAlign w:val="center"/>
          </w:tcPr>
          <w:p w14:paraId="2A5EDF8E" w14:textId="14595326" w:rsidR="003B4C79" w:rsidRDefault="003B4C79" w:rsidP="0049183F">
            <w:pPr>
              <w:spacing w:beforeLines="40" w:before="96" w:afterLines="40" w:after="96"/>
            </w:pPr>
            <w:r w:rsidRPr="00CD1E93">
              <w:t xml:space="preserve"> $2,990,274 </w:t>
            </w:r>
          </w:p>
        </w:tc>
        <w:tc>
          <w:tcPr>
            <w:tcW w:w="985" w:type="dxa"/>
            <w:vAlign w:val="center"/>
          </w:tcPr>
          <w:p w14:paraId="14B30B8D" w14:textId="41D7A65B" w:rsidR="003B4C79" w:rsidRDefault="003B4C79" w:rsidP="0049183F">
            <w:pPr>
              <w:spacing w:beforeLines="40" w:before="96" w:afterLines="40" w:after="96"/>
            </w:pPr>
            <w:r w:rsidRPr="00CD1E93">
              <w:t>19%</w:t>
            </w:r>
          </w:p>
        </w:tc>
      </w:tr>
      <w:tr w:rsidR="003B4C79" w14:paraId="28114A9F" w14:textId="77777777" w:rsidTr="003B4C79">
        <w:tc>
          <w:tcPr>
            <w:tcW w:w="3505" w:type="dxa"/>
            <w:vAlign w:val="center"/>
          </w:tcPr>
          <w:p w14:paraId="23624BC2" w14:textId="0915CAD4" w:rsidR="003B4C79" w:rsidRDefault="003B4C79" w:rsidP="0049183F">
            <w:pPr>
              <w:spacing w:beforeLines="40" w:before="96" w:afterLines="40" w:after="96"/>
              <w:ind w:firstLine="250"/>
            </w:pPr>
            <w:r w:rsidRPr="00CD1E93">
              <w:t>Foundations</w:t>
            </w:r>
          </w:p>
        </w:tc>
        <w:tc>
          <w:tcPr>
            <w:tcW w:w="1620" w:type="dxa"/>
            <w:vAlign w:val="center"/>
          </w:tcPr>
          <w:p w14:paraId="0D01166A" w14:textId="2412CB5C" w:rsidR="003B4C79" w:rsidRDefault="003B4C79" w:rsidP="0049183F">
            <w:pPr>
              <w:spacing w:beforeLines="40" w:before="96" w:afterLines="40" w:after="96"/>
            </w:pPr>
            <w:r w:rsidRPr="00CD1E93">
              <w:t>$1,892,677</w:t>
            </w:r>
          </w:p>
        </w:tc>
        <w:tc>
          <w:tcPr>
            <w:tcW w:w="1530" w:type="dxa"/>
            <w:vAlign w:val="center"/>
          </w:tcPr>
          <w:p w14:paraId="7DC5982D" w14:textId="00103F93" w:rsidR="003B4C79" w:rsidRDefault="003B4C79" w:rsidP="0049183F">
            <w:pPr>
              <w:spacing w:beforeLines="40" w:before="96" w:afterLines="40" w:after="96"/>
            </w:pPr>
            <w:r w:rsidRPr="00CD1E93">
              <w:t>$158,985</w:t>
            </w:r>
          </w:p>
        </w:tc>
        <w:tc>
          <w:tcPr>
            <w:tcW w:w="1710" w:type="dxa"/>
            <w:vAlign w:val="center"/>
          </w:tcPr>
          <w:p w14:paraId="206BF4FB" w14:textId="0A6391E5" w:rsidR="003B4C79" w:rsidRDefault="003B4C79" w:rsidP="0049183F">
            <w:pPr>
              <w:spacing w:beforeLines="40" w:before="96" w:afterLines="40" w:after="96"/>
            </w:pPr>
            <w:r w:rsidRPr="00CD1E93">
              <w:t xml:space="preserve"> $2,051,662 </w:t>
            </w:r>
          </w:p>
        </w:tc>
        <w:tc>
          <w:tcPr>
            <w:tcW w:w="985" w:type="dxa"/>
            <w:vAlign w:val="center"/>
          </w:tcPr>
          <w:p w14:paraId="68A1F3C2" w14:textId="28E0A71B" w:rsidR="003B4C79" w:rsidRDefault="003B4C79" w:rsidP="0049183F">
            <w:pPr>
              <w:spacing w:beforeLines="40" w:before="96" w:afterLines="40" w:after="96"/>
            </w:pPr>
            <w:r w:rsidRPr="00CD1E93">
              <w:t>13%</w:t>
            </w:r>
          </w:p>
        </w:tc>
      </w:tr>
      <w:tr w:rsidR="003B4C79" w14:paraId="4A7D4B44" w14:textId="77777777" w:rsidTr="003B4C79">
        <w:tc>
          <w:tcPr>
            <w:tcW w:w="3505" w:type="dxa"/>
            <w:vAlign w:val="center"/>
          </w:tcPr>
          <w:p w14:paraId="3A6873E1" w14:textId="4D777EAF" w:rsidR="003B4C79" w:rsidRDefault="003B4C79" w:rsidP="0049183F">
            <w:pPr>
              <w:spacing w:beforeLines="40" w:before="96" w:afterLines="40" w:after="96"/>
            </w:pPr>
            <w:r w:rsidRPr="00CD1E93">
              <w:t>Unrestricted</w:t>
            </w:r>
          </w:p>
        </w:tc>
        <w:tc>
          <w:tcPr>
            <w:tcW w:w="1620" w:type="dxa"/>
            <w:vAlign w:val="center"/>
          </w:tcPr>
          <w:p w14:paraId="54324878" w14:textId="77777777" w:rsidR="003B4C79" w:rsidRDefault="003B4C79" w:rsidP="0049183F">
            <w:pPr>
              <w:spacing w:beforeLines="40" w:before="96" w:afterLines="40" w:after="96"/>
            </w:pPr>
          </w:p>
        </w:tc>
        <w:tc>
          <w:tcPr>
            <w:tcW w:w="1530" w:type="dxa"/>
            <w:vAlign w:val="center"/>
          </w:tcPr>
          <w:p w14:paraId="2812F33F" w14:textId="77777777" w:rsidR="003B4C79" w:rsidRDefault="003B4C79" w:rsidP="0049183F">
            <w:pPr>
              <w:spacing w:beforeLines="40" w:before="96" w:afterLines="40" w:after="96"/>
            </w:pPr>
          </w:p>
        </w:tc>
        <w:tc>
          <w:tcPr>
            <w:tcW w:w="1710" w:type="dxa"/>
            <w:vAlign w:val="center"/>
          </w:tcPr>
          <w:p w14:paraId="7A0A6E95" w14:textId="77777777" w:rsidR="003B4C79" w:rsidRDefault="003B4C79" w:rsidP="0049183F">
            <w:pPr>
              <w:spacing w:beforeLines="40" w:before="96" w:afterLines="40" w:after="96"/>
            </w:pPr>
          </w:p>
        </w:tc>
        <w:tc>
          <w:tcPr>
            <w:tcW w:w="985" w:type="dxa"/>
            <w:vAlign w:val="center"/>
          </w:tcPr>
          <w:p w14:paraId="7D413AE4" w14:textId="77777777" w:rsidR="003B4C79" w:rsidRDefault="003B4C79" w:rsidP="0049183F">
            <w:pPr>
              <w:spacing w:beforeLines="40" w:before="96" w:afterLines="40" w:after="96"/>
            </w:pPr>
          </w:p>
        </w:tc>
      </w:tr>
      <w:tr w:rsidR="003B4C79" w14:paraId="6A995E47" w14:textId="77777777" w:rsidTr="003B4C79">
        <w:tc>
          <w:tcPr>
            <w:tcW w:w="3505" w:type="dxa"/>
            <w:vAlign w:val="center"/>
          </w:tcPr>
          <w:p w14:paraId="43BD5515" w14:textId="7C43D8F6" w:rsidR="003B4C79" w:rsidRDefault="003B4C79" w:rsidP="0049183F">
            <w:pPr>
              <w:spacing w:beforeLines="40" w:before="96" w:afterLines="40" w:after="96"/>
              <w:ind w:left="250"/>
            </w:pPr>
            <w:r w:rsidRPr="00CD1E93">
              <w:t>Foundations, Corporate, Individuals</w:t>
            </w:r>
          </w:p>
        </w:tc>
        <w:tc>
          <w:tcPr>
            <w:tcW w:w="1620" w:type="dxa"/>
            <w:vAlign w:val="center"/>
          </w:tcPr>
          <w:p w14:paraId="5175D740" w14:textId="51E749F4" w:rsidR="003B4C79" w:rsidRDefault="003B4C79" w:rsidP="0049183F">
            <w:pPr>
              <w:spacing w:beforeLines="40" w:before="96" w:afterLines="40" w:after="96"/>
            </w:pPr>
            <w:r w:rsidRPr="00CD1E93">
              <w:t>$10,609,882</w:t>
            </w:r>
          </w:p>
        </w:tc>
        <w:tc>
          <w:tcPr>
            <w:tcW w:w="1530" w:type="dxa"/>
            <w:vAlign w:val="center"/>
          </w:tcPr>
          <w:p w14:paraId="30CF9D2D" w14:textId="77777777" w:rsidR="003B4C79" w:rsidRDefault="003B4C79" w:rsidP="0049183F">
            <w:pPr>
              <w:spacing w:beforeLines="40" w:before="96" w:afterLines="40" w:after="96"/>
            </w:pPr>
          </w:p>
        </w:tc>
        <w:tc>
          <w:tcPr>
            <w:tcW w:w="1710" w:type="dxa"/>
            <w:vAlign w:val="center"/>
          </w:tcPr>
          <w:p w14:paraId="27CD828B" w14:textId="310D07C2" w:rsidR="003B4C79" w:rsidRDefault="003B4C79" w:rsidP="0049183F">
            <w:pPr>
              <w:spacing w:beforeLines="40" w:before="96" w:afterLines="40" w:after="96"/>
            </w:pPr>
            <w:r w:rsidRPr="00CD1E93">
              <w:t xml:space="preserve"> 10,609,882</w:t>
            </w:r>
          </w:p>
        </w:tc>
        <w:tc>
          <w:tcPr>
            <w:tcW w:w="985" w:type="dxa"/>
            <w:vAlign w:val="center"/>
          </w:tcPr>
          <w:p w14:paraId="1215D502" w14:textId="5BEF6974" w:rsidR="003B4C79" w:rsidRDefault="003B4C79" w:rsidP="0049183F">
            <w:pPr>
              <w:spacing w:beforeLines="40" w:before="96" w:afterLines="40" w:after="96"/>
            </w:pPr>
            <w:r w:rsidRPr="00CD1E93">
              <w:t>68%</w:t>
            </w:r>
          </w:p>
        </w:tc>
      </w:tr>
      <w:tr w:rsidR="003B4C79" w14:paraId="6714F8BF" w14:textId="77777777" w:rsidTr="00D74B23">
        <w:tc>
          <w:tcPr>
            <w:tcW w:w="3505" w:type="dxa"/>
            <w:vAlign w:val="center"/>
          </w:tcPr>
          <w:p w14:paraId="18C2BE9C" w14:textId="4ED8A016" w:rsidR="003B4C79" w:rsidRDefault="003B4C79" w:rsidP="0049183F">
            <w:pPr>
              <w:spacing w:beforeLines="40" w:before="96" w:afterLines="40" w:after="96"/>
            </w:pPr>
            <w:r w:rsidRPr="00CD1E93">
              <w:rPr>
                <w:b/>
                <w:bCs/>
              </w:rPr>
              <w:t>Total Revenue</w:t>
            </w:r>
          </w:p>
        </w:tc>
        <w:tc>
          <w:tcPr>
            <w:tcW w:w="1620" w:type="dxa"/>
            <w:vAlign w:val="center"/>
          </w:tcPr>
          <w:p w14:paraId="021720F8" w14:textId="67823ABD" w:rsidR="003B4C79" w:rsidRDefault="003B4C79" w:rsidP="0049183F">
            <w:pPr>
              <w:spacing w:beforeLines="40" w:before="96" w:afterLines="40" w:after="96"/>
            </w:pPr>
            <w:r w:rsidRPr="00CD1E93">
              <w:rPr>
                <w:b/>
                <w:bCs/>
              </w:rPr>
              <w:t>$13,747,281</w:t>
            </w:r>
          </w:p>
        </w:tc>
        <w:tc>
          <w:tcPr>
            <w:tcW w:w="1530" w:type="dxa"/>
            <w:vAlign w:val="center"/>
          </w:tcPr>
          <w:p w14:paraId="4C5889B5" w14:textId="0A146132" w:rsidR="003B4C79" w:rsidRDefault="003B4C79" w:rsidP="0049183F">
            <w:pPr>
              <w:spacing w:beforeLines="40" w:before="96" w:afterLines="40" w:after="96"/>
            </w:pPr>
            <w:r w:rsidRPr="00CD1E93">
              <w:rPr>
                <w:b/>
                <w:bCs/>
              </w:rPr>
              <w:t>$1,904,537</w:t>
            </w:r>
          </w:p>
        </w:tc>
        <w:tc>
          <w:tcPr>
            <w:tcW w:w="1710" w:type="dxa"/>
            <w:vAlign w:val="center"/>
          </w:tcPr>
          <w:p w14:paraId="7BA7C6C2" w14:textId="4AE16A4B" w:rsidR="003B4C79" w:rsidRDefault="003B4C79" w:rsidP="0049183F">
            <w:pPr>
              <w:spacing w:beforeLines="40" w:before="96" w:afterLines="40" w:after="96"/>
            </w:pPr>
            <w:r w:rsidRPr="00CD1E93">
              <w:rPr>
                <w:b/>
                <w:bCs/>
              </w:rPr>
              <w:t>$15,651,818</w:t>
            </w:r>
          </w:p>
        </w:tc>
        <w:tc>
          <w:tcPr>
            <w:tcW w:w="985" w:type="dxa"/>
            <w:vAlign w:val="center"/>
          </w:tcPr>
          <w:p w14:paraId="6E8107CB" w14:textId="44B7A2C0" w:rsidR="003B4C79" w:rsidRDefault="003B4C79" w:rsidP="0049183F">
            <w:pPr>
              <w:spacing w:beforeLines="40" w:before="96" w:afterLines="40" w:after="96"/>
            </w:pPr>
            <w:r w:rsidRPr="00CD1E93">
              <w:rPr>
                <w:b/>
                <w:bCs/>
              </w:rPr>
              <w:t>100%</w:t>
            </w:r>
          </w:p>
        </w:tc>
      </w:tr>
      <w:tr w:rsidR="003B4C79" w14:paraId="2C3130FE" w14:textId="77777777" w:rsidTr="0030125B">
        <w:tc>
          <w:tcPr>
            <w:tcW w:w="9350" w:type="dxa"/>
            <w:gridSpan w:val="5"/>
            <w:vAlign w:val="center"/>
          </w:tcPr>
          <w:p w14:paraId="136531B9" w14:textId="719C40B5" w:rsidR="003B4C79" w:rsidRPr="00CD1E93" w:rsidRDefault="003B4C79" w:rsidP="0049183F">
            <w:pPr>
              <w:spacing w:beforeLines="40" w:before="96" w:afterLines="40" w:after="96"/>
              <w:rPr>
                <w:b/>
                <w:bCs/>
              </w:rPr>
            </w:pPr>
            <w:r w:rsidRPr="00CD1E93">
              <w:t>Operating Expenses</w:t>
            </w:r>
          </w:p>
        </w:tc>
      </w:tr>
      <w:tr w:rsidR="003B4C79" w14:paraId="1850869F" w14:textId="77777777" w:rsidTr="00D74B23">
        <w:tc>
          <w:tcPr>
            <w:tcW w:w="3505" w:type="dxa"/>
            <w:vAlign w:val="center"/>
          </w:tcPr>
          <w:p w14:paraId="255018B3" w14:textId="3FFF5864" w:rsidR="003B4C79" w:rsidRPr="00CD1E93" w:rsidRDefault="003B4C79" w:rsidP="0049183F">
            <w:pPr>
              <w:spacing w:beforeLines="40" w:before="96" w:afterLines="40" w:after="96"/>
              <w:rPr>
                <w:b/>
                <w:bCs/>
              </w:rPr>
            </w:pPr>
            <w:r w:rsidRPr="00CD1E93">
              <w:t>Program Services - Grant Awards and Oversight</w:t>
            </w:r>
          </w:p>
        </w:tc>
        <w:tc>
          <w:tcPr>
            <w:tcW w:w="1620" w:type="dxa"/>
            <w:vAlign w:val="center"/>
          </w:tcPr>
          <w:p w14:paraId="0CD045ED" w14:textId="41EECB2C" w:rsidR="003B4C79" w:rsidRPr="00CD1E93" w:rsidRDefault="003B4C79" w:rsidP="0049183F">
            <w:pPr>
              <w:spacing w:beforeLines="40" w:before="96" w:afterLines="40" w:after="96"/>
              <w:rPr>
                <w:b/>
                <w:bCs/>
              </w:rPr>
            </w:pPr>
            <w:r w:rsidRPr="00CD1E93">
              <w:t>$5,920,716</w:t>
            </w:r>
          </w:p>
        </w:tc>
        <w:tc>
          <w:tcPr>
            <w:tcW w:w="1530" w:type="dxa"/>
            <w:vAlign w:val="center"/>
          </w:tcPr>
          <w:p w14:paraId="2D173FBC" w14:textId="00F51E78" w:rsidR="003B4C79" w:rsidRPr="00CD1E93" w:rsidRDefault="003B4C79" w:rsidP="0049183F">
            <w:pPr>
              <w:spacing w:beforeLines="40" w:before="96" w:afterLines="40" w:after="96"/>
              <w:rPr>
                <w:b/>
                <w:bCs/>
              </w:rPr>
            </w:pPr>
            <w:r w:rsidRPr="00CD1E93">
              <w:t>$2,060,941</w:t>
            </w:r>
          </w:p>
        </w:tc>
        <w:tc>
          <w:tcPr>
            <w:tcW w:w="1710" w:type="dxa"/>
            <w:vAlign w:val="center"/>
          </w:tcPr>
          <w:p w14:paraId="6FF4D055" w14:textId="569EA002" w:rsidR="003B4C79" w:rsidRPr="00CD1E93" w:rsidRDefault="003B4C79" w:rsidP="0049183F">
            <w:pPr>
              <w:spacing w:beforeLines="40" w:before="96" w:afterLines="40" w:after="96"/>
              <w:rPr>
                <w:b/>
                <w:bCs/>
              </w:rPr>
            </w:pPr>
            <w:r w:rsidRPr="00CD1E93">
              <w:t xml:space="preserve"> $7,981,657 </w:t>
            </w:r>
          </w:p>
        </w:tc>
        <w:tc>
          <w:tcPr>
            <w:tcW w:w="985" w:type="dxa"/>
            <w:vAlign w:val="center"/>
          </w:tcPr>
          <w:p w14:paraId="1DE94032" w14:textId="1E6D5255" w:rsidR="003B4C79" w:rsidRPr="00CD1E93" w:rsidRDefault="003B4C79" w:rsidP="0049183F">
            <w:pPr>
              <w:spacing w:beforeLines="40" w:before="96" w:afterLines="40" w:after="96"/>
              <w:rPr>
                <w:b/>
                <w:bCs/>
              </w:rPr>
            </w:pPr>
            <w:r w:rsidRPr="00CD1E93">
              <w:t>71%</w:t>
            </w:r>
          </w:p>
        </w:tc>
      </w:tr>
      <w:tr w:rsidR="003B4C79" w14:paraId="739BA2B3" w14:textId="77777777" w:rsidTr="00C17BED">
        <w:tc>
          <w:tcPr>
            <w:tcW w:w="3505" w:type="dxa"/>
            <w:vAlign w:val="center"/>
          </w:tcPr>
          <w:p w14:paraId="40E98CA9" w14:textId="62FC5181" w:rsidR="003B4C79" w:rsidRPr="00CD1E93" w:rsidRDefault="003B4C79" w:rsidP="0049183F">
            <w:pPr>
              <w:spacing w:beforeLines="40" w:before="96" w:afterLines="40" w:after="96"/>
              <w:rPr>
                <w:b/>
                <w:bCs/>
              </w:rPr>
            </w:pPr>
            <w:r w:rsidRPr="00CD1E93">
              <w:t>General and Administrative</w:t>
            </w:r>
          </w:p>
        </w:tc>
        <w:tc>
          <w:tcPr>
            <w:tcW w:w="1620" w:type="dxa"/>
            <w:vAlign w:val="center"/>
          </w:tcPr>
          <w:p w14:paraId="5AC5FE11" w14:textId="04CFBEC6" w:rsidR="003B4C79" w:rsidRPr="00CD1E93" w:rsidRDefault="003B4C79" w:rsidP="0049183F">
            <w:pPr>
              <w:spacing w:beforeLines="40" w:before="96" w:afterLines="40" w:after="96"/>
              <w:rPr>
                <w:b/>
                <w:bCs/>
              </w:rPr>
            </w:pPr>
            <w:r w:rsidRPr="00CD1E93">
              <w:t>$2,670,697</w:t>
            </w:r>
          </w:p>
        </w:tc>
        <w:tc>
          <w:tcPr>
            <w:tcW w:w="1530" w:type="dxa"/>
          </w:tcPr>
          <w:p w14:paraId="78B0C7BC" w14:textId="30D65D8A" w:rsidR="003B4C79" w:rsidRPr="00CD1E93" w:rsidRDefault="003B4C79" w:rsidP="0049183F">
            <w:pPr>
              <w:spacing w:beforeLines="40" w:before="96" w:afterLines="40" w:after="96"/>
              <w:rPr>
                <w:b/>
                <w:bCs/>
              </w:rPr>
            </w:pPr>
            <w:r w:rsidRPr="00CD1E93">
              <w:t>$103,115</w:t>
            </w:r>
          </w:p>
        </w:tc>
        <w:tc>
          <w:tcPr>
            <w:tcW w:w="1710" w:type="dxa"/>
          </w:tcPr>
          <w:p w14:paraId="30EB7747" w14:textId="2ACF4609" w:rsidR="003B4C79" w:rsidRPr="00CD1E93" w:rsidRDefault="003B4C79" w:rsidP="0049183F">
            <w:pPr>
              <w:spacing w:beforeLines="40" w:before="96" w:afterLines="40" w:after="96"/>
              <w:rPr>
                <w:b/>
                <w:bCs/>
              </w:rPr>
            </w:pPr>
            <w:r w:rsidRPr="00CD1E93">
              <w:t xml:space="preserve"> $2,773,812 </w:t>
            </w:r>
          </w:p>
        </w:tc>
        <w:tc>
          <w:tcPr>
            <w:tcW w:w="985" w:type="dxa"/>
          </w:tcPr>
          <w:p w14:paraId="544B9B8F" w14:textId="6CBE8502" w:rsidR="003B4C79" w:rsidRPr="00CD1E93" w:rsidRDefault="003B4C79" w:rsidP="0049183F">
            <w:pPr>
              <w:spacing w:beforeLines="40" w:before="96" w:afterLines="40" w:after="96"/>
              <w:rPr>
                <w:b/>
                <w:bCs/>
              </w:rPr>
            </w:pPr>
            <w:r w:rsidRPr="00CD1E93">
              <w:t>25%</w:t>
            </w:r>
          </w:p>
        </w:tc>
      </w:tr>
      <w:tr w:rsidR="003B4C79" w14:paraId="28C0AA7E" w14:textId="77777777" w:rsidTr="00C17BED">
        <w:tc>
          <w:tcPr>
            <w:tcW w:w="3505" w:type="dxa"/>
            <w:vAlign w:val="center"/>
          </w:tcPr>
          <w:p w14:paraId="2801F1C6" w14:textId="64019157" w:rsidR="003B4C79" w:rsidRPr="00CD1E93" w:rsidRDefault="003B4C79" w:rsidP="0049183F">
            <w:pPr>
              <w:spacing w:beforeLines="40" w:before="96" w:afterLines="40" w:after="96"/>
              <w:rPr>
                <w:b/>
                <w:bCs/>
              </w:rPr>
            </w:pPr>
            <w:r w:rsidRPr="00CD1E93">
              <w:t>Fundraising</w:t>
            </w:r>
          </w:p>
        </w:tc>
        <w:tc>
          <w:tcPr>
            <w:tcW w:w="1620" w:type="dxa"/>
            <w:vAlign w:val="center"/>
          </w:tcPr>
          <w:p w14:paraId="6DA4F58B" w14:textId="2B319AF0" w:rsidR="003B4C79" w:rsidRPr="00CD1E93" w:rsidRDefault="003B4C79" w:rsidP="0049183F">
            <w:pPr>
              <w:spacing w:beforeLines="40" w:before="96" w:afterLines="40" w:after="96"/>
              <w:rPr>
                <w:b/>
                <w:bCs/>
              </w:rPr>
            </w:pPr>
            <w:r w:rsidRPr="00CD1E93">
              <w:t>$381,220</w:t>
            </w:r>
          </w:p>
        </w:tc>
        <w:tc>
          <w:tcPr>
            <w:tcW w:w="1530" w:type="dxa"/>
          </w:tcPr>
          <w:p w14:paraId="6C6CD3AC" w14:textId="2911A4FB" w:rsidR="003B4C79" w:rsidRPr="00CD1E93" w:rsidRDefault="003B4C79" w:rsidP="0049183F">
            <w:pPr>
              <w:spacing w:beforeLines="40" w:before="96" w:afterLines="40" w:after="96"/>
              <w:rPr>
                <w:b/>
                <w:bCs/>
              </w:rPr>
            </w:pPr>
            <w:r w:rsidRPr="00CD1E93">
              <w:t>$28,288</w:t>
            </w:r>
          </w:p>
        </w:tc>
        <w:tc>
          <w:tcPr>
            <w:tcW w:w="1710" w:type="dxa"/>
          </w:tcPr>
          <w:p w14:paraId="26016931" w14:textId="24F30914" w:rsidR="003B4C79" w:rsidRPr="00CD1E93" w:rsidRDefault="003B4C79" w:rsidP="0049183F">
            <w:pPr>
              <w:spacing w:beforeLines="40" w:before="96" w:afterLines="40" w:after="96"/>
              <w:rPr>
                <w:b/>
                <w:bCs/>
              </w:rPr>
            </w:pPr>
            <w:r w:rsidRPr="00CD1E93">
              <w:t xml:space="preserve"> $409,508 </w:t>
            </w:r>
          </w:p>
        </w:tc>
        <w:tc>
          <w:tcPr>
            <w:tcW w:w="985" w:type="dxa"/>
          </w:tcPr>
          <w:p w14:paraId="1F2D5272" w14:textId="1AAFFA37" w:rsidR="003B4C79" w:rsidRPr="00CD1E93" w:rsidRDefault="003B4C79" w:rsidP="0049183F">
            <w:pPr>
              <w:spacing w:beforeLines="40" w:before="96" w:afterLines="40" w:after="96"/>
              <w:rPr>
                <w:b/>
                <w:bCs/>
              </w:rPr>
            </w:pPr>
            <w:r w:rsidRPr="00CD1E93">
              <w:t>4%</w:t>
            </w:r>
          </w:p>
        </w:tc>
      </w:tr>
      <w:tr w:rsidR="003B4C79" w14:paraId="6A41AA1E" w14:textId="77777777" w:rsidTr="00C17BED">
        <w:tc>
          <w:tcPr>
            <w:tcW w:w="3505" w:type="dxa"/>
            <w:vAlign w:val="center"/>
          </w:tcPr>
          <w:p w14:paraId="7B7F2C2A" w14:textId="2C1C1C79" w:rsidR="003B4C79" w:rsidRPr="00CD1E93" w:rsidRDefault="003B4C79" w:rsidP="0049183F">
            <w:pPr>
              <w:spacing w:beforeLines="40" w:before="96" w:afterLines="40" w:after="96"/>
            </w:pPr>
            <w:r w:rsidRPr="00CD1E93">
              <w:rPr>
                <w:b/>
                <w:bCs/>
              </w:rPr>
              <w:t>Total Expenses</w:t>
            </w:r>
          </w:p>
        </w:tc>
        <w:tc>
          <w:tcPr>
            <w:tcW w:w="1620" w:type="dxa"/>
            <w:vAlign w:val="center"/>
          </w:tcPr>
          <w:p w14:paraId="58CE4BF4" w14:textId="4D7D2B2B" w:rsidR="003B4C79" w:rsidRPr="00CD1E93" w:rsidRDefault="003B4C79" w:rsidP="0049183F">
            <w:pPr>
              <w:spacing w:beforeLines="40" w:before="96" w:afterLines="40" w:after="96"/>
            </w:pPr>
            <w:r w:rsidRPr="00CD1E93">
              <w:rPr>
                <w:b/>
                <w:bCs/>
              </w:rPr>
              <w:t>$8,972,633</w:t>
            </w:r>
          </w:p>
        </w:tc>
        <w:tc>
          <w:tcPr>
            <w:tcW w:w="1530" w:type="dxa"/>
          </w:tcPr>
          <w:p w14:paraId="7D44C3DA" w14:textId="55EDE8F6" w:rsidR="003B4C79" w:rsidRPr="00CD1E93" w:rsidRDefault="003B4C79" w:rsidP="0049183F">
            <w:pPr>
              <w:spacing w:beforeLines="40" w:before="96" w:afterLines="40" w:after="96"/>
            </w:pPr>
            <w:r w:rsidRPr="00CD1E93">
              <w:rPr>
                <w:b/>
                <w:bCs/>
              </w:rPr>
              <w:t>$2,192,344</w:t>
            </w:r>
          </w:p>
        </w:tc>
        <w:tc>
          <w:tcPr>
            <w:tcW w:w="1710" w:type="dxa"/>
          </w:tcPr>
          <w:p w14:paraId="521A77D5" w14:textId="230F0521" w:rsidR="003B4C79" w:rsidRPr="00CD1E93" w:rsidRDefault="003B4C79" w:rsidP="0049183F">
            <w:pPr>
              <w:spacing w:beforeLines="40" w:before="96" w:afterLines="40" w:after="96"/>
            </w:pPr>
            <w:r w:rsidRPr="00CD1E93">
              <w:rPr>
                <w:b/>
                <w:bCs/>
              </w:rPr>
              <w:t xml:space="preserve"> 11,164,977 </w:t>
            </w:r>
          </w:p>
        </w:tc>
        <w:tc>
          <w:tcPr>
            <w:tcW w:w="985" w:type="dxa"/>
          </w:tcPr>
          <w:p w14:paraId="5C74071C" w14:textId="12447BB6" w:rsidR="003B4C79" w:rsidRPr="00CD1E93" w:rsidRDefault="003B4C79" w:rsidP="0049183F">
            <w:pPr>
              <w:spacing w:beforeLines="40" w:before="96" w:afterLines="40" w:after="96"/>
            </w:pPr>
            <w:r w:rsidRPr="00CD1E93">
              <w:rPr>
                <w:b/>
                <w:bCs/>
              </w:rPr>
              <w:t>100%</w:t>
            </w:r>
          </w:p>
        </w:tc>
      </w:tr>
    </w:tbl>
    <w:p w14:paraId="0F90FDEE" w14:textId="77777777" w:rsidR="00CD1E93" w:rsidRPr="00CD1E93" w:rsidRDefault="00CD1E93" w:rsidP="00CD1E93">
      <w:pPr>
        <w:pStyle w:val="Heading1"/>
      </w:pPr>
      <w:r w:rsidRPr="00CD1E93">
        <w:t>Grantmaking Committee</w:t>
      </w:r>
    </w:p>
    <w:p w14:paraId="30D2EAC4" w14:textId="77777777" w:rsidR="00CD1E93" w:rsidRPr="00CD1E93" w:rsidRDefault="00CD1E93" w:rsidP="00CD1E93">
      <w:pPr>
        <w:spacing w:after="0"/>
      </w:pPr>
      <w:r w:rsidRPr="00CD1E93">
        <w:t>Our Grantmaking Committee (GMC) makes all pooled funds’ grantmaking decisions and inform our grantmaking priorities. Committee members are a mix of disability rights activists and donor representatives.</w:t>
      </w:r>
    </w:p>
    <w:p w14:paraId="335BB446" w14:textId="77777777" w:rsidR="00CD1E93" w:rsidRPr="00CD1E93" w:rsidRDefault="00CD1E93" w:rsidP="00CD1E93">
      <w:pPr>
        <w:spacing w:after="0"/>
        <w:rPr>
          <w:b/>
          <w:bCs/>
        </w:rPr>
      </w:pPr>
      <w:r w:rsidRPr="00CD1E93">
        <w:rPr>
          <w:b/>
          <w:bCs/>
        </w:rPr>
        <w:t xml:space="preserve">Current GMC members </w:t>
      </w:r>
    </w:p>
    <w:p w14:paraId="601FAD68" w14:textId="77777777" w:rsidR="00CD1E93" w:rsidRPr="00CD1E93" w:rsidRDefault="00CD1E93" w:rsidP="00CD1E93">
      <w:pPr>
        <w:pStyle w:val="ListParagraph"/>
        <w:numPr>
          <w:ilvl w:val="0"/>
          <w:numId w:val="5"/>
        </w:numPr>
        <w:spacing w:after="0"/>
      </w:pPr>
      <w:r w:rsidRPr="00CD1E93">
        <w:t xml:space="preserve">Nikki Brown-Booker </w:t>
      </w:r>
    </w:p>
    <w:p w14:paraId="3A4C4FAA" w14:textId="77777777" w:rsidR="00CD1E93" w:rsidRPr="00CD1E93" w:rsidRDefault="00CD1E93" w:rsidP="00CD1E93">
      <w:pPr>
        <w:pStyle w:val="ListParagraph"/>
        <w:numPr>
          <w:ilvl w:val="0"/>
          <w:numId w:val="5"/>
        </w:numPr>
        <w:spacing w:after="0"/>
      </w:pPr>
      <w:r w:rsidRPr="00CD1E93">
        <w:t xml:space="preserve">Nandini Ghosh </w:t>
      </w:r>
    </w:p>
    <w:p w14:paraId="1C990148" w14:textId="77777777" w:rsidR="00CD1E93" w:rsidRPr="00CD1E93" w:rsidRDefault="00CD1E93" w:rsidP="00CD1E93">
      <w:pPr>
        <w:pStyle w:val="ListParagraph"/>
        <w:numPr>
          <w:ilvl w:val="0"/>
          <w:numId w:val="5"/>
        </w:numPr>
        <w:spacing w:after="0"/>
      </w:pPr>
      <w:proofErr w:type="spellStart"/>
      <w:r w:rsidRPr="00CD1E93">
        <w:t>Ishumael</w:t>
      </w:r>
      <w:proofErr w:type="spellEnd"/>
      <w:r w:rsidRPr="00CD1E93">
        <w:t xml:space="preserve"> Zhou </w:t>
      </w:r>
    </w:p>
    <w:p w14:paraId="34D2D670" w14:textId="77777777" w:rsidR="00CD1E93" w:rsidRPr="00CD1E93" w:rsidRDefault="00CD1E93" w:rsidP="00CD1E93">
      <w:pPr>
        <w:pStyle w:val="ListParagraph"/>
        <w:numPr>
          <w:ilvl w:val="0"/>
          <w:numId w:val="5"/>
        </w:numPr>
        <w:spacing w:after="0"/>
      </w:pPr>
      <w:r w:rsidRPr="00CD1E93">
        <w:t>Waqar Puri</w:t>
      </w:r>
    </w:p>
    <w:p w14:paraId="177951C5" w14:textId="77777777" w:rsidR="00CD1E93" w:rsidRPr="00CD1E93" w:rsidRDefault="00CD1E93" w:rsidP="00CD1E93">
      <w:pPr>
        <w:pStyle w:val="ListParagraph"/>
        <w:numPr>
          <w:ilvl w:val="0"/>
          <w:numId w:val="5"/>
        </w:numPr>
        <w:spacing w:after="0"/>
      </w:pPr>
      <w:r w:rsidRPr="00CD1E93">
        <w:t>Helena Woods</w:t>
      </w:r>
    </w:p>
    <w:p w14:paraId="0D700F78" w14:textId="2442A632" w:rsidR="00985248" w:rsidRPr="00985248" w:rsidRDefault="00CD1E93" w:rsidP="00CD1E93">
      <w:pPr>
        <w:pStyle w:val="ListParagraph"/>
        <w:numPr>
          <w:ilvl w:val="0"/>
          <w:numId w:val="5"/>
        </w:numPr>
        <w:spacing w:after="0"/>
      </w:pPr>
      <w:r w:rsidRPr="00CD1E93">
        <w:t>Susannah Rodgers</w:t>
      </w:r>
    </w:p>
    <w:p w14:paraId="76D98CE4" w14:textId="77777777" w:rsidR="0049183F" w:rsidRDefault="0049183F" w:rsidP="00256EF9">
      <w:pPr>
        <w:pStyle w:val="Heading1"/>
        <w:rPr>
          <w:rFonts w:eastAsiaTheme="minorHAnsi" w:cs="Lexend"/>
          <w:b w:val="0"/>
          <w:color w:val="000000"/>
          <w:spacing w:val="-2"/>
          <w:sz w:val="22"/>
          <w:szCs w:val="22"/>
        </w:rPr>
      </w:pPr>
      <w:r w:rsidRPr="0049183F">
        <w:rPr>
          <w:rFonts w:eastAsiaTheme="minorHAnsi" w:cs="Lexend"/>
          <w:b w:val="0"/>
          <w:color w:val="000000"/>
          <w:spacing w:val="-2"/>
          <w:sz w:val="22"/>
          <w:szCs w:val="22"/>
        </w:rPr>
        <w:lastRenderedPageBreak/>
        <w:t xml:space="preserve">We extend our gratitude to former committee member </w:t>
      </w:r>
      <w:proofErr w:type="spellStart"/>
      <w:r w:rsidRPr="0049183F">
        <w:rPr>
          <w:rFonts w:eastAsiaTheme="minorHAnsi" w:cs="Lexend"/>
          <w:b w:val="0"/>
          <w:color w:val="000000"/>
          <w:spacing w:val="-2"/>
          <w:sz w:val="22"/>
          <w:szCs w:val="22"/>
        </w:rPr>
        <w:t>Myroslava</w:t>
      </w:r>
      <w:proofErr w:type="spellEnd"/>
      <w:r w:rsidRPr="0049183F">
        <w:rPr>
          <w:rFonts w:eastAsiaTheme="minorHAnsi" w:cs="Lexend"/>
          <w:b w:val="0"/>
          <w:color w:val="000000"/>
          <w:spacing w:val="-2"/>
          <w:sz w:val="22"/>
          <w:szCs w:val="22"/>
        </w:rPr>
        <w:t xml:space="preserve"> </w:t>
      </w:r>
      <w:proofErr w:type="spellStart"/>
      <w:r w:rsidRPr="0049183F">
        <w:rPr>
          <w:rFonts w:eastAsiaTheme="minorHAnsi" w:cs="Lexend"/>
          <w:b w:val="0"/>
          <w:color w:val="000000"/>
          <w:spacing w:val="-2"/>
          <w:sz w:val="22"/>
          <w:szCs w:val="22"/>
        </w:rPr>
        <w:t>Tataryn</w:t>
      </w:r>
      <w:proofErr w:type="spellEnd"/>
      <w:r w:rsidRPr="0049183F">
        <w:rPr>
          <w:rFonts w:eastAsiaTheme="minorHAnsi" w:cs="Lexend"/>
          <w:b w:val="0"/>
          <w:color w:val="000000"/>
          <w:spacing w:val="-2"/>
          <w:sz w:val="22"/>
          <w:szCs w:val="22"/>
        </w:rPr>
        <w:t xml:space="preserve"> for her invaluable contributions.</w:t>
      </w:r>
    </w:p>
    <w:p w14:paraId="30F13EF2" w14:textId="645DA03F" w:rsidR="00256EF9" w:rsidRDefault="00256EF9" w:rsidP="00256EF9">
      <w:pPr>
        <w:pStyle w:val="Heading1"/>
      </w:pPr>
      <w:r w:rsidRPr="00256EF9">
        <w:t xml:space="preserve">Current Board of Directors  </w:t>
      </w:r>
    </w:p>
    <w:p w14:paraId="383D3D44" w14:textId="77777777" w:rsidR="00256EF9" w:rsidRPr="00256EF9" w:rsidRDefault="00256EF9" w:rsidP="00256EF9">
      <w:pPr>
        <w:pStyle w:val="ListParagraph"/>
        <w:numPr>
          <w:ilvl w:val="0"/>
          <w:numId w:val="6"/>
        </w:numPr>
      </w:pPr>
      <w:r w:rsidRPr="00256EF9">
        <w:t xml:space="preserve">Maria Ní </w:t>
      </w:r>
      <w:proofErr w:type="spellStart"/>
      <w:r w:rsidRPr="00256EF9">
        <w:t>Fhlatharta</w:t>
      </w:r>
      <w:proofErr w:type="spellEnd"/>
      <w:r w:rsidRPr="00256EF9">
        <w:t xml:space="preserve"> (Co-Chair) </w:t>
      </w:r>
    </w:p>
    <w:p w14:paraId="20642A1A" w14:textId="77777777" w:rsidR="00256EF9" w:rsidRPr="00256EF9" w:rsidRDefault="00256EF9" w:rsidP="00256EF9">
      <w:pPr>
        <w:pStyle w:val="ListParagraph"/>
        <w:numPr>
          <w:ilvl w:val="0"/>
          <w:numId w:val="6"/>
        </w:numPr>
      </w:pPr>
      <w:r w:rsidRPr="00256EF9">
        <w:t xml:space="preserve">Alberto Vásquez (Co-Chair) </w:t>
      </w:r>
    </w:p>
    <w:p w14:paraId="3DAFFD77" w14:textId="77777777" w:rsidR="00256EF9" w:rsidRPr="00256EF9" w:rsidRDefault="00256EF9" w:rsidP="00256EF9">
      <w:pPr>
        <w:pStyle w:val="ListParagraph"/>
        <w:numPr>
          <w:ilvl w:val="0"/>
          <w:numId w:val="6"/>
        </w:numPr>
      </w:pPr>
      <w:proofErr w:type="spellStart"/>
      <w:r w:rsidRPr="00256EF9">
        <w:t>Setareki</w:t>
      </w:r>
      <w:proofErr w:type="spellEnd"/>
      <w:r w:rsidRPr="00256EF9">
        <w:t xml:space="preserve"> S. </w:t>
      </w:r>
      <w:proofErr w:type="spellStart"/>
      <w:r w:rsidRPr="00256EF9">
        <w:t>Macanawai</w:t>
      </w:r>
      <w:proofErr w:type="spellEnd"/>
    </w:p>
    <w:p w14:paraId="239B85CA" w14:textId="77777777" w:rsidR="00256EF9" w:rsidRPr="00256EF9" w:rsidRDefault="00256EF9" w:rsidP="00256EF9">
      <w:pPr>
        <w:pStyle w:val="ListParagraph"/>
        <w:numPr>
          <w:ilvl w:val="0"/>
          <w:numId w:val="6"/>
        </w:numPr>
      </w:pPr>
      <w:proofErr w:type="spellStart"/>
      <w:r w:rsidRPr="00256EF9">
        <w:t>Sikelelwa</w:t>
      </w:r>
      <w:proofErr w:type="spellEnd"/>
      <w:r w:rsidRPr="00256EF9">
        <w:t xml:space="preserve"> Alexandrina </w:t>
      </w:r>
      <w:proofErr w:type="spellStart"/>
      <w:r w:rsidRPr="00256EF9">
        <w:t>Msitshana</w:t>
      </w:r>
      <w:proofErr w:type="spellEnd"/>
      <w:r w:rsidRPr="00256EF9">
        <w:t xml:space="preserve"> </w:t>
      </w:r>
    </w:p>
    <w:p w14:paraId="20685BC5" w14:textId="77777777" w:rsidR="00256EF9" w:rsidRPr="00256EF9" w:rsidRDefault="00256EF9" w:rsidP="00256EF9">
      <w:pPr>
        <w:pStyle w:val="ListParagraph"/>
        <w:numPr>
          <w:ilvl w:val="0"/>
          <w:numId w:val="6"/>
        </w:numPr>
      </w:pPr>
      <w:r w:rsidRPr="00256EF9">
        <w:t>Michael Njenga (Treasurer)</w:t>
      </w:r>
    </w:p>
    <w:p w14:paraId="5E954FAF" w14:textId="77777777" w:rsidR="00256EF9" w:rsidRPr="00256EF9" w:rsidRDefault="00256EF9" w:rsidP="00256EF9">
      <w:pPr>
        <w:pStyle w:val="ListParagraph"/>
        <w:numPr>
          <w:ilvl w:val="0"/>
          <w:numId w:val="6"/>
        </w:numPr>
      </w:pPr>
      <w:r w:rsidRPr="00256EF9">
        <w:t xml:space="preserve">Michael </w:t>
      </w:r>
      <w:proofErr w:type="spellStart"/>
      <w:r w:rsidRPr="00256EF9">
        <w:t>Szporluk</w:t>
      </w:r>
      <w:proofErr w:type="spellEnd"/>
    </w:p>
    <w:p w14:paraId="07BBB9C3" w14:textId="211ED27B" w:rsidR="00256EF9" w:rsidRPr="00256EF9" w:rsidRDefault="00256EF9" w:rsidP="00256EF9">
      <w:pPr>
        <w:pStyle w:val="ListParagraph"/>
        <w:numPr>
          <w:ilvl w:val="0"/>
          <w:numId w:val="6"/>
        </w:numPr>
      </w:pPr>
      <w:r w:rsidRPr="00256EF9">
        <w:t>Andrew Ferren (Board Clerk)</w:t>
      </w:r>
    </w:p>
    <w:p w14:paraId="4E7019F9" w14:textId="099937F6" w:rsidR="00256EF9" w:rsidRDefault="00256EF9" w:rsidP="00256EF9">
      <w:r w:rsidRPr="00256EF9">
        <w:t xml:space="preserve">We thank former board members Beth </w:t>
      </w:r>
      <w:proofErr w:type="spellStart"/>
      <w:r w:rsidRPr="00256EF9">
        <w:t>MacNairn</w:t>
      </w:r>
      <w:proofErr w:type="spellEnd"/>
      <w:r w:rsidRPr="00256EF9">
        <w:t xml:space="preserve">, Charlie Clements, Maureen Lister, Mariel Gonzales, and Andrew Ferren. Andrew currently serves as our Board Clerk. We also thank Lorraine </w:t>
      </w:r>
      <w:proofErr w:type="spellStart"/>
      <w:r w:rsidRPr="00256EF9">
        <w:t>Wapling</w:t>
      </w:r>
      <w:proofErr w:type="spellEnd"/>
      <w:r w:rsidRPr="00256EF9">
        <w:t xml:space="preserve">, our former board co-chair, for eight years of committed service. Lorraine currently serves as our Interim Executive Director. </w:t>
      </w:r>
    </w:p>
    <w:p w14:paraId="26C6E060" w14:textId="7F88E356" w:rsidR="00256EF9" w:rsidRPr="00256EF9" w:rsidRDefault="00256EF9" w:rsidP="00256EF9">
      <w:pPr>
        <w:pStyle w:val="Quote"/>
      </w:pPr>
      <w:r w:rsidRPr="00256EF9">
        <w:t>2023 has been a year of exciting evolution and growth as we laid the groundwork for the future. We’ve worked tirelessly on our new strategic plan, which will usher in a new chapter for our organizations. As we continue to build on our participatory model, we are thrilled to see collective care and more thematic approaches becoming central to our work, complementing our focus on marginalized communities. These are transformative times, and we’re eager to continue fostering partnerships and innovative approaches while growing our impact."</w:t>
      </w:r>
      <w:r>
        <w:t xml:space="preserve"> - </w:t>
      </w:r>
      <w:r w:rsidRPr="00256EF9">
        <w:t xml:space="preserve">Maria Ní </w:t>
      </w:r>
      <w:proofErr w:type="spellStart"/>
      <w:r w:rsidRPr="00256EF9">
        <w:t>Fhlatharta</w:t>
      </w:r>
      <w:proofErr w:type="spellEnd"/>
      <w:r w:rsidRPr="00256EF9">
        <w:t xml:space="preserve"> and Alberto Vásquez</w:t>
      </w:r>
      <w:r>
        <w:t xml:space="preserve">, </w:t>
      </w:r>
      <w:r w:rsidRPr="00256EF9">
        <w:t>DRF Board Co-Chairs</w:t>
      </w:r>
    </w:p>
    <w:p w14:paraId="13C79D61" w14:textId="283161CE" w:rsidR="00256EF9" w:rsidRPr="00256EF9" w:rsidRDefault="00256EF9" w:rsidP="00256EF9">
      <w:pPr>
        <w:pStyle w:val="Heading1"/>
      </w:pPr>
      <w:r w:rsidRPr="00256EF9">
        <w:t>A Great Team Manifests Our Dreams!</w:t>
      </w:r>
    </w:p>
    <w:p w14:paraId="50D8A97D" w14:textId="6BED44AA" w:rsidR="00256EF9" w:rsidRPr="00256EF9" w:rsidRDefault="00256EF9" w:rsidP="00256EF9">
      <w:pPr>
        <w:rPr>
          <w:b/>
          <w:bCs/>
        </w:rPr>
      </w:pPr>
      <w:r w:rsidRPr="00256EF9">
        <w:rPr>
          <w:b/>
          <w:bCs/>
        </w:rPr>
        <w:t>Current Staff Members</w:t>
      </w:r>
    </w:p>
    <w:p w14:paraId="11ADB2A7" w14:textId="251FFD41" w:rsidR="00256EF9" w:rsidRPr="00256EF9" w:rsidRDefault="00256EF9" w:rsidP="00256EF9">
      <w:r w:rsidRPr="00256EF9">
        <w:t xml:space="preserve">We thank all DRF team members for their profound contributions to our organizations last year. DRF’s hardworking and committed team powers our movement, operations, learning and growth divisions. We thank former staff members, Catalina Devandas, Faith Lemon, Alice </w:t>
      </w:r>
      <w:r w:rsidR="00CC0265" w:rsidRPr="00CC0265">
        <w:t>Phinizy</w:t>
      </w:r>
      <w:r w:rsidRPr="00256EF9">
        <w:t xml:space="preserve">, </w:t>
      </w:r>
      <w:r w:rsidR="00854F94">
        <w:t xml:space="preserve">Jack Kretzmer, </w:t>
      </w:r>
      <w:r w:rsidRPr="00256EF9">
        <w:t xml:space="preserve">and Christina </w:t>
      </w:r>
      <w:proofErr w:type="spellStart"/>
      <w:r w:rsidRPr="00256EF9">
        <w:t>Parasyn</w:t>
      </w:r>
      <w:proofErr w:type="spellEnd"/>
      <w:r w:rsidRPr="00256EF9">
        <w:t xml:space="preserve"> for their dedicated service to DRF. </w:t>
      </w:r>
      <w:hyperlink r:id="rId12" w:anchor="staff" w:history="1">
        <w:r w:rsidRPr="00256EF9">
          <w:rPr>
            <w:rStyle w:val="Hyperlink"/>
          </w:rPr>
          <w:t>View bios of current team members here</w:t>
        </w:r>
      </w:hyperlink>
      <w:r w:rsidRPr="00256EF9">
        <w:t>.</w:t>
      </w:r>
    </w:p>
    <w:p w14:paraId="1060EF9D" w14:textId="77777777" w:rsidR="00256EF9" w:rsidRDefault="00256EF9" w:rsidP="00256EF9">
      <w:pPr>
        <w:pStyle w:val="Heading1"/>
      </w:pPr>
      <w:r w:rsidRPr="00256EF9">
        <w:t>Credits</w:t>
      </w:r>
    </w:p>
    <w:p w14:paraId="597BA105" w14:textId="42D3318E" w:rsidR="00256EF9" w:rsidRPr="00256EF9" w:rsidRDefault="00256EF9" w:rsidP="00256EF9">
      <w:r w:rsidRPr="00256EF9">
        <w:t>This report was produced by Rucha Chitnis, DRF’s Communications Director.</w:t>
      </w:r>
      <w:r>
        <w:t xml:space="preserve"> </w:t>
      </w:r>
      <w:r w:rsidRPr="00256EF9">
        <w:t>We thank all our team members for contributing to this publication.</w:t>
      </w:r>
    </w:p>
    <w:p w14:paraId="2A6066C5" w14:textId="230C2D8F" w:rsidR="00256EF9" w:rsidRDefault="00256EF9" w:rsidP="00256EF9">
      <w:pPr>
        <w:pStyle w:val="Heading1"/>
      </w:pPr>
      <w:r>
        <w:lastRenderedPageBreak/>
        <w:t>Disability Rights Fund and Disability Rights Advocacy Fund</w:t>
      </w:r>
    </w:p>
    <w:p w14:paraId="476A7896" w14:textId="557DA5BF" w:rsidR="00256EF9" w:rsidRPr="00256EF9" w:rsidRDefault="00256EF9" w:rsidP="00256EF9">
      <w:pPr>
        <w:pStyle w:val="ListParagraph"/>
        <w:numPr>
          <w:ilvl w:val="0"/>
          <w:numId w:val="7"/>
        </w:numPr>
      </w:pPr>
      <w:r>
        <w:t xml:space="preserve">DRF Online: </w:t>
      </w:r>
      <w:hyperlink r:id="rId13" w:history="1">
        <w:r w:rsidRPr="00256EF9">
          <w:rPr>
            <w:rStyle w:val="Hyperlink"/>
          </w:rPr>
          <w:t>disabilityrightsfund.org</w:t>
        </w:r>
      </w:hyperlink>
      <w:r w:rsidRPr="00256EF9">
        <w:t xml:space="preserve"> </w:t>
      </w:r>
    </w:p>
    <w:p w14:paraId="1717AA11" w14:textId="74963E28" w:rsidR="00256EF9" w:rsidRPr="00256EF9" w:rsidRDefault="00256EF9" w:rsidP="00256EF9">
      <w:pPr>
        <w:pStyle w:val="ListParagraph"/>
        <w:numPr>
          <w:ilvl w:val="0"/>
          <w:numId w:val="7"/>
        </w:numPr>
      </w:pPr>
      <w:r>
        <w:t xml:space="preserve">DRAF Online: </w:t>
      </w:r>
      <w:hyperlink r:id="rId14" w:history="1">
        <w:r w:rsidRPr="00256EF9">
          <w:rPr>
            <w:rStyle w:val="Hyperlink"/>
          </w:rPr>
          <w:t>drafund.org</w:t>
        </w:r>
      </w:hyperlink>
    </w:p>
    <w:p w14:paraId="4B9CD820" w14:textId="12868A52" w:rsidR="00256EF9" w:rsidRPr="00256EF9" w:rsidRDefault="00256EF9" w:rsidP="00256EF9">
      <w:pPr>
        <w:pStyle w:val="ListParagraph"/>
        <w:numPr>
          <w:ilvl w:val="0"/>
          <w:numId w:val="7"/>
        </w:numPr>
      </w:pPr>
      <w:r>
        <w:t xml:space="preserve">Email: </w:t>
      </w:r>
      <w:hyperlink r:id="rId15" w:history="1">
        <w:proofErr w:type="spellStart"/>
        <w:r w:rsidRPr="00256EF9">
          <w:rPr>
            <w:rStyle w:val="Hyperlink"/>
          </w:rPr>
          <w:t>info@disabilityrightsfund</w:t>
        </w:r>
        <w:proofErr w:type="spellEnd"/>
      </w:hyperlink>
    </w:p>
    <w:p w14:paraId="5B1C1B5D" w14:textId="79710FA3" w:rsidR="00256EF9" w:rsidRPr="00256EF9" w:rsidRDefault="00256EF9" w:rsidP="00256EF9">
      <w:pPr>
        <w:pStyle w:val="ListParagraph"/>
        <w:numPr>
          <w:ilvl w:val="0"/>
          <w:numId w:val="7"/>
        </w:numPr>
      </w:pPr>
      <w:r>
        <w:t xml:space="preserve">Facebook: </w:t>
      </w:r>
      <w:hyperlink r:id="rId16" w:history="1">
        <w:proofErr w:type="spellStart"/>
        <w:r w:rsidRPr="00256EF9">
          <w:rPr>
            <w:rStyle w:val="Hyperlink"/>
          </w:rPr>
          <w:t>DisabilityRightsFund</w:t>
        </w:r>
        <w:proofErr w:type="spellEnd"/>
      </w:hyperlink>
      <w:r w:rsidRPr="00256EF9">
        <w:t xml:space="preserve"> </w:t>
      </w:r>
    </w:p>
    <w:p w14:paraId="6052B386" w14:textId="66F46197" w:rsidR="00256EF9" w:rsidRPr="00256EF9" w:rsidRDefault="00256EF9" w:rsidP="00256EF9">
      <w:pPr>
        <w:pStyle w:val="ListParagraph"/>
        <w:numPr>
          <w:ilvl w:val="0"/>
          <w:numId w:val="7"/>
        </w:numPr>
      </w:pPr>
      <w:r>
        <w:t xml:space="preserve">Instagram: </w:t>
      </w:r>
      <w:hyperlink r:id="rId17" w:history="1">
        <w:proofErr w:type="spellStart"/>
        <w:r w:rsidRPr="00256EF9">
          <w:rPr>
            <w:rStyle w:val="Hyperlink"/>
          </w:rPr>
          <w:t>DisabilityRightsFund</w:t>
        </w:r>
        <w:proofErr w:type="spellEnd"/>
      </w:hyperlink>
    </w:p>
    <w:p w14:paraId="5FBDF55E" w14:textId="5FC66405" w:rsidR="00256EF9" w:rsidRPr="00256EF9" w:rsidRDefault="00256EF9" w:rsidP="00256EF9">
      <w:pPr>
        <w:pStyle w:val="ListParagraph"/>
        <w:numPr>
          <w:ilvl w:val="0"/>
          <w:numId w:val="7"/>
        </w:numPr>
      </w:pPr>
      <w:r>
        <w:t xml:space="preserve">X Social: </w:t>
      </w:r>
      <w:hyperlink r:id="rId18" w:history="1">
        <w:r w:rsidRPr="00256EF9">
          <w:rPr>
            <w:rStyle w:val="Hyperlink"/>
          </w:rPr>
          <w:t>@DisabRightsFund</w:t>
        </w:r>
      </w:hyperlink>
      <w:r w:rsidRPr="00256EF9">
        <w:t xml:space="preserve"> </w:t>
      </w:r>
    </w:p>
    <w:p w14:paraId="17B7F26C" w14:textId="7DE21BDB" w:rsidR="00256EF9" w:rsidRPr="00256EF9" w:rsidRDefault="00256EF9" w:rsidP="00256EF9">
      <w:pPr>
        <w:pStyle w:val="ListParagraph"/>
        <w:numPr>
          <w:ilvl w:val="0"/>
          <w:numId w:val="7"/>
        </w:numPr>
      </w:pPr>
      <w:r>
        <w:t xml:space="preserve">LinkedIn: </w:t>
      </w:r>
      <w:hyperlink r:id="rId19" w:history="1">
        <w:r w:rsidRPr="00256EF9">
          <w:rPr>
            <w:rStyle w:val="Hyperlink"/>
          </w:rPr>
          <w:t>disability-rights-fund</w:t>
        </w:r>
      </w:hyperlink>
    </w:p>
    <w:p w14:paraId="1BC06276" w14:textId="77777777" w:rsidR="00256EF9" w:rsidRPr="00256EF9" w:rsidRDefault="00256EF9" w:rsidP="00256EF9">
      <w:pPr>
        <w:spacing w:after="0"/>
      </w:pPr>
      <w:r w:rsidRPr="00256EF9">
        <w:t>The Disability Rights Fund is a 501c3 organization, EIN 27-5026293.</w:t>
      </w:r>
    </w:p>
    <w:p w14:paraId="091753F6" w14:textId="3E8E0FE6" w:rsidR="00256EF9" w:rsidRDefault="00256EF9" w:rsidP="00256EF9">
      <w:r w:rsidRPr="00256EF9">
        <w:t>The Disability Rights Advocacy Fund is a 501c4 organization, EIN 27-5026463</w:t>
      </w:r>
    </w:p>
    <w:p w14:paraId="6E507653" w14:textId="4FE1AD64" w:rsidR="0026626D" w:rsidRDefault="00256EF9" w:rsidP="0026626D">
      <w:r>
        <w:t>Platinum Transparency 2023, Candid.</w:t>
      </w:r>
    </w:p>
    <w:sectPr w:rsidR="0026626D" w:rsidSect="00BE629F">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FB427" w14:textId="77777777" w:rsidR="00891D33" w:rsidRDefault="00891D33" w:rsidP="00E3104B">
      <w:pPr>
        <w:spacing w:before="0" w:after="0" w:line="240" w:lineRule="auto"/>
      </w:pPr>
      <w:r>
        <w:separator/>
      </w:r>
    </w:p>
  </w:endnote>
  <w:endnote w:type="continuationSeparator" w:id="0">
    <w:p w14:paraId="6A2E64EF" w14:textId="77777777" w:rsidR="00891D33" w:rsidRDefault="00891D33" w:rsidP="00E310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exend">
    <w:panose1 w:val="00000000000000000000"/>
    <w:charset w:val="4D"/>
    <w:family w:val="auto"/>
    <w:pitch w:val="variable"/>
    <w:sig w:usb0="A00000FF" w:usb1="4000205B" w:usb2="00000000" w:usb3="00000000" w:csb0="000001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078E" w14:textId="30B3AFF8" w:rsidR="00E3104B" w:rsidRPr="00E3104B" w:rsidRDefault="00E3104B" w:rsidP="00E3104B">
    <w:pPr>
      <w:pStyle w:val="Title"/>
      <w:rPr>
        <w:sz w:val="20"/>
        <w:szCs w:val="20"/>
      </w:rPr>
    </w:pPr>
    <w:r w:rsidRPr="00E3104B">
      <w:rPr>
        <w:b w:val="0"/>
        <w:sz w:val="20"/>
        <w:szCs w:val="20"/>
      </w:rPr>
      <w:t>Disability Rights Fund and Disability Rights Advocacy Fund</w:t>
    </w:r>
    <w:r>
      <w:rPr>
        <w:b w:val="0"/>
        <w:sz w:val="20"/>
        <w:szCs w:val="20"/>
      </w:rPr>
      <w:t xml:space="preserve"> </w:t>
    </w:r>
    <w:r w:rsidRPr="00E3104B">
      <w:rPr>
        <w:sz w:val="20"/>
        <w:szCs w:val="20"/>
      </w:rPr>
      <w:t>2023 Annual Report</w:t>
    </w:r>
    <w:r>
      <w:rPr>
        <w:sz w:val="20"/>
        <w:szCs w:val="20"/>
      </w:rPr>
      <w:tab/>
    </w:r>
    <w:r>
      <w:rPr>
        <w:sz w:val="20"/>
        <w:szCs w:val="20"/>
      </w:rPr>
      <w:tab/>
    </w:r>
    <w:r>
      <w:rPr>
        <w:sz w:val="20"/>
        <w:szCs w:val="20"/>
      </w:rPr>
      <w:tab/>
      <w:t xml:space="preserve">         </w:t>
    </w:r>
    <w:sdt>
      <w:sdtPr>
        <w:id w:val="-915009153"/>
        <w:docPartObj>
          <w:docPartGallery w:val="Page Numbers (Bottom of Page)"/>
          <w:docPartUnique/>
        </w:docPartObj>
      </w:sdtPr>
      <w:sdtEndPr>
        <w:rPr>
          <w:noProof/>
          <w:sz w:val="20"/>
          <w:szCs w:val="20"/>
        </w:rPr>
      </w:sdtEndPr>
      <w:sdtContent>
        <w:r w:rsidRPr="00E3104B">
          <w:rPr>
            <w:sz w:val="20"/>
            <w:szCs w:val="20"/>
          </w:rPr>
          <w:fldChar w:fldCharType="begin"/>
        </w:r>
        <w:r w:rsidRPr="00E3104B">
          <w:rPr>
            <w:sz w:val="20"/>
            <w:szCs w:val="20"/>
          </w:rPr>
          <w:instrText xml:space="preserve"> PAGE   \* MERGEFORMAT </w:instrText>
        </w:r>
        <w:r w:rsidRPr="00E3104B">
          <w:rPr>
            <w:sz w:val="20"/>
            <w:szCs w:val="20"/>
          </w:rPr>
          <w:fldChar w:fldCharType="separate"/>
        </w:r>
        <w:r w:rsidRPr="00E3104B">
          <w:rPr>
            <w:noProof/>
            <w:sz w:val="20"/>
            <w:szCs w:val="20"/>
          </w:rPr>
          <w:t>2</w:t>
        </w:r>
        <w:r w:rsidRPr="00E3104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FE2EA" w14:textId="77777777" w:rsidR="00891D33" w:rsidRDefault="00891D33" w:rsidP="00E3104B">
      <w:pPr>
        <w:spacing w:before="0" w:after="0" w:line="240" w:lineRule="auto"/>
      </w:pPr>
      <w:r>
        <w:separator/>
      </w:r>
    </w:p>
  </w:footnote>
  <w:footnote w:type="continuationSeparator" w:id="0">
    <w:p w14:paraId="6709A533" w14:textId="77777777" w:rsidR="00891D33" w:rsidRDefault="00891D33" w:rsidP="00E3104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72602"/>
    <w:multiLevelType w:val="hybridMultilevel"/>
    <w:tmpl w:val="CBA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04433"/>
    <w:multiLevelType w:val="hybridMultilevel"/>
    <w:tmpl w:val="5B10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43107"/>
    <w:multiLevelType w:val="hybridMultilevel"/>
    <w:tmpl w:val="41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46963"/>
    <w:multiLevelType w:val="hybridMultilevel"/>
    <w:tmpl w:val="6D48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80C76"/>
    <w:multiLevelType w:val="hybridMultilevel"/>
    <w:tmpl w:val="77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26288"/>
    <w:multiLevelType w:val="hybridMultilevel"/>
    <w:tmpl w:val="9022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6307B"/>
    <w:multiLevelType w:val="hybridMultilevel"/>
    <w:tmpl w:val="47E8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081852">
    <w:abstractNumId w:val="3"/>
  </w:num>
  <w:num w:numId="2" w16cid:durableId="513954531">
    <w:abstractNumId w:val="1"/>
  </w:num>
  <w:num w:numId="3" w16cid:durableId="435948435">
    <w:abstractNumId w:val="2"/>
  </w:num>
  <w:num w:numId="4" w16cid:durableId="1672444878">
    <w:abstractNumId w:val="6"/>
  </w:num>
  <w:num w:numId="5" w16cid:durableId="267085099">
    <w:abstractNumId w:val="5"/>
  </w:num>
  <w:num w:numId="6" w16cid:durableId="928662446">
    <w:abstractNumId w:val="0"/>
  </w:num>
  <w:num w:numId="7" w16cid:durableId="1069841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9F"/>
    <w:rsid w:val="00093EDB"/>
    <w:rsid w:val="00154BD1"/>
    <w:rsid w:val="001D3484"/>
    <w:rsid w:val="001E2A06"/>
    <w:rsid w:val="002053AF"/>
    <w:rsid w:val="00207D59"/>
    <w:rsid w:val="00231636"/>
    <w:rsid w:val="002406BC"/>
    <w:rsid w:val="00256EF9"/>
    <w:rsid w:val="0026584C"/>
    <w:rsid w:val="0026626D"/>
    <w:rsid w:val="002F4D72"/>
    <w:rsid w:val="003B4C79"/>
    <w:rsid w:val="003C7A92"/>
    <w:rsid w:val="00407136"/>
    <w:rsid w:val="0049183F"/>
    <w:rsid w:val="005362CB"/>
    <w:rsid w:val="005A26D7"/>
    <w:rsid w:val="00602DD5"/>
    <w:rsid w:val="007C59C5"/>
    <w:rsid w:val="00854F94"/>
    <w:rsid w:val="00891D33"/>
    <w:rsid w:val="008A588E"/>
    <w:rsid w:val="008F401E"/>
    <w:rsid w:val="009079CA"/>
    <w:rsid w:val="00985248"/>
    <w:rsid w:val="00A9231B"/>
    <w:rsid w:val="00B6388E"/>
    <w:rsid w:val="00BA5199"/>
    <w:rsid w:val="00BE629F"/>
    <w:rsid w:val="00CC0265"/>
    <w:rsid w:val="00CD1E93"/>
    <w:rsid w:val="00E3104B"/>
    <w:rsid w:val="00E4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A557"/>
  <w15:chartTrackingRefBased/>
  <w15:docId w15:val="{C8648D60-746E-46EB-8D88-A68B2883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AF"/>
    <w:pPr>
      <w:spacing w:before="120" w:after="280"/>
    </w:pPr>
    <w:rPr>
      <w:rFonts w:ascii="Lexend" w:hAnsi="Lexend"/>
    </w:rPr>
  </w:style>
  <w:style w:type="paragraph" w:styleId="Heading1">
    <w:name w:val="heading 1"/>
    <w:basedOn w:val="Normal"/>
    <w:next w:val="Normal"/>
    <w:link w:val="Heading1Char"/>
    <w:uiPriority w:val="9"/>
    <w:qFormat/>
    <w:rsid w:val="002053AF"/>
    <w:pPr>
      <w:keepNext/>
      <w:keepLines/>
      <w:spacing w:before="360" w:after="80"/>
      <w:outlineLvl w:val="0"/>
    </w:pPr>
    <w:rPr>
      <w:rFonts w:eastAsiaTheme="majorEastAsia" w:cstheme="majorBidi"/>
      <w:b/>
      <w:sz w:val="28"/>
      <w:szCs w:val="40"/>
    </w:rPr>
  </w:style>
  <w:style w:type="paragraph" w:styleId="Heading2">
    <w:name w:val="heading 2"/>
    <w:basedOn w:val="Normal"/>
    <w:next w:val="Normal"/>
    <w:link w:val="Heading2Char"/>
    <w:uiPriority w:val="9"/>
    <w:semiHidden/>
    <w:unhideWhenUsed/>
    <w:qFormat/>
    <w:rsid w:val="00BE6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AF"/>
    <w:rPr>
      <w:rFonts w:ascii="Lexend" w:eastAsiaTheme="majorEastAsia" w:hAnsi="Lexend" w:cstheme="majorBidi"/>
      <w:b/>
      <w:sz w:val="28"/>
      <w:szCs w:val="40"/>
    </w:rPr>
  </w:style>
  <w:style w:type="character" w:customStyle="1" w:styleId="Heading2Char">
    <w:name w:val="Heading 2 Char"/>
    <w:basedOn w:val="DefaultParagraphFont"/>
    <w:link w:val="Heading2"/>
    <w:uiPriority w:val="9"/>
    <w:semiHidden/>
    <w:rsid w:val="00BE6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29F"/>
    <w:rPr>
      <w:rFonts w:eastAsiaTheme="majorEastAsia" w:cstheme="majorBidi"/>
      <w:color w:val="272727" w:themeColor="text1" w:themeTint="D8"/>
    </w:rPr>
  </w:style>
  <w:style w:type="paragraph" w:styleId="Title">
    <w:name w:val="Title"/>
    <w:basedOn w:val="Normal"/>
    <w:next w:val="Normal"/>
    <w:link w:val="TitleChar"/>
    <w:uiPriority w:val="10"/>
    <w:qFormat/>
    <w:rsid w:val="002053AF"/>
    <w:pPr>
      <w:spacing w:after="8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053AF"/>
    <w:rPr>
      <w:rFonts w:ascii="Lexend" w:eastAsiaTheme="majorEastAsia" w:hAnsi="Lexend" w:cstheme="majorBidi"/>
      <w:b/>
      <w:spacing w:val="-10"/>
      <w:kern w:val="28"/>
      <w:sz w:val="36"/>
      <w:szCs w:val="56"/>
    </w:rPr>
  </w:style>
  <w:style w:type="paragraph" w:styleId="Subtitle">
    <w:name w:val="Subtitle"/>
    <w:basedOn w:val="Normal"/>
    <w:next w:val="Normal"/>
    <w:link w:val="SubtitleChar"/>
    <w:uiPriority w:val="11"/>
    <w:qFormat/>
    <w:rsid w:val="00BE6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3AF"/>
    <w:pPr>
      <w:spacing w:before="280"/>
    </w:pPr>
    <w:rPr>
      <w:iCs/>
    </w:rPr>
  </w:style>
  <w:style w:type="character" w:customStyle="1" w:styleId="QuoteChar">
    <w:name w:val="Quote Char"/>
    <w:basedOn w:val="DefaultParagraphFont"/>
    <w:link w:val="Quote"/>
    <w:uiPriority w:val="29"/>
    <w:rsid w:val="002053AF"/>
    <w:rPr>
      <w:rFonts w:ascii="Lexend" w:hAnsi="Lexend"/>
      <w:iCs/>
    </w:rPr>
  </w:style>
  <w:style w:type="paragraph" w:styleId="ListParagraph">
    <w:name w:val="List Paragraph"/>
    <w:basedOn w:val="Normal"/>
    <w:uiPriority w:val="34"/>
    <w:qFormat/>
    <w:rsid w:val="00BE629F"/>
    <w:pPr>
      <w:ind w:left="720"/>
      <w:contextualSpacing/>
    </w:pPr>
  </w:style>
  <w:style w:type="character" w:styleId="IntenseEmphasis">
    <w:name w:val="Intense Emphasis"/>
    <w:basedOn w:val="DefaultParagraphFont"/>
    <w:uiPriority w:val="21"/>
    <w:qFormat/>
    <w:rsid w:val="00BE629F"/>
    <w:rPr>
      <w:i/>
      <w:iCs/>
      <w:color w:val="0F4761" w:themeColor="accent1" w:themeShade="BF"/>
    </w:rPr>
  </w:style>
  <w:style w:type="paragraph" w:styleId="IntenseQuote">
    <w:name w:val="Intense Quote"/>
    <w:basedOn w:val="Normal"/>
    <w:next w:val="Normal"/>
    <w:link w:val="IntenseQuoteChar"/>
    <w:uiPriority w:val="30"/>
    <w:qFormat/>
    <w:rsid w:val="00BE6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29F"/>
    <w:rPr>
      <w:i/>
      <w:iCs/>
      <w:color w:val="0F4761" w:themeColor="accent1" w:themeShade="BF"/>
    </w:rPr>
  </w:style>
  <w:style w:type="character" w:styleId="IntenseReference">
    <w:name w:val="Intense Reference"/>
    <w:basedOn w:val="DefaultParagraphFont"/>
    <w:uiPriority w:val="32"/>
    <w:qFormat/>
    <w:rsid w:val="00BE629F"/>
    <w:rPr>
      <w:b/>
      <w:bCs/>
      <w:smallCaps/>
      <w:color w:val="0F4761" w:themeColor="accent1" w:themeShade="BF"/>
      <w:spacing w:val="5"/>
    </w:rPr>
  </w:style>
  <w:style w:type="paragraph" w:customStyle="1" w:styleId="BasicParagraph">
    <w:name w:val="[Basic Paragraph]"/>
    <w:basedOn w:val="Normal"/>
    <w:uiPriority w:val="99"/>
    <w:rsid w:val="00154BD1"/>
    <w:pPr>
      <w:suppressAutoHyphens/>
      <w:autoSpaceDE w:val="0"/>
      <w:autoSpaceDN w:val="0"/>
      <w:adjustRightInd w:val="0"/>
      <w:spacing w:before="90" w:after="90" w:line="290" w:lineRule="atLeast"/>
      <w:textAlignment w:val="center"/>
    </w:pPr>
    <w:rPr>
      <w:rFonts w:cs="Lexend"/>
      <w:color w:val="000000"/>
    </w:rPr>
  </w:style>
  <w:style w:type="character" w:styleId="Hyperlink">
    <w:name w:val="Hyperlink"/>
    <w:basedOn w:val="DefaultParagraphFont"/>
    <w:uiPriority w:val="99"/>
    <w:rsid w:val="00154BD1"/>
    <w:rPr>
      <w:color w:val="007387"/>
      <w:u w:val="thick"/>
    </w:rPr>
  </w:style>
  <w:style w:type="character" w:styleId="UnresolvedMention">
    <w:name w:val="Unresolved Mention"/>
    <w:basedOn w:val="DefaultParagraphFont"/>
    <w:uiPriority w:val="99"/>
    <w:semiHidden/>
    <w:unhideWhenUsed/>
    <w:rsid w:val="00154BD1"/>
    <w:rPr>
      <w:color w:val="605E5C"/>
      <w:shd w:val="clear" w:color="auto" w:fill="E1DFDD"/>
    </w:rPr>
  </w:style>
  <w:style w:type="paragraph" w:customStyle="1" w:styleId="H2">
    <w:name w:val="H2"/>
    <w:basedOn w:val="Normal"/>
    <w:uiPriority w:val="99"/>
    <w:rsid w:val="00256EF9"/>
    <w:pPr>
      <w:suppressAutoHyphens/>
      <w:autoSpaceDE w:val="0"/>
      <w:autoSpaceDN w:val="0"/>
      <w:adjustRightInd w:val="0"/>
      <w:spacing w:before="0" w:after="0" w:line="360" w:lineRule="atLeast"/>
      <w:jc w:val="center"/>
      <w:textAlignment w:val="center"/>
    </w:pPr>
    <w:rPr>
      <w:rFonts w:cs="Lexend"/>
      <w:b/>
      <w:bCs/>
      <w:color w:val="CA2338"/>
      <w:sz w:val="32"/>
      <w:szCs w:val="32"/>
    </w:rPr>
  </w:style>
  <w:style w:type="paragraph" w:styleId="Header">
    <w:name w:val="header"/>
    <w:basedOn w:val="Normal"/>
    <w:link w:val="HeaderChar"/>
    <w:uiPriority w:val="99"/>
    <w:unhideWhenUsed/>
    <w:rsid w:val="00E3104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104B"/>
    <w:rPr>
      <w:rFonts w:ascii="Lexend" w:hAnsi="Lexend"/>
    </w:rPr>
  </w:style>
  <w:style w:type="paragraph" w:styleId="Footer">
    <w:name w:val="footer"/>
    <w:basedOn w:val="Normal"/>
    <w:link w:val="FooterChar"/>
    <w:uiPriority w:val="99"/>
    <w:unhideWhenUsed/>
    <w:rsid w:val="00E3104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3104B"/>
    <w:rPr>
      <w:rFonts w:ascii="Lexend" w:hAnsi="Lexend"/>
    </w:rPr>
  </w:style>
  <w:style w:type="table" w:styleId="TableGrid">
    <w:name w:val="Table Grid"/>
    <w:basedOn w:val="TableNormal"/>
    <w:uiPriority w:val="39"/>
    <w:rsid w:val="003B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fund.org/strategic-plan/" TargetMode="External"/><Relationship Id="rId13" Type="http://schemas.openxmlformats.org/officeDocument/2006/relationships/hyperlink" Target="http://www.disabilityrightsfund.org" TargetMode="External"/><Relationship Id="rId18" Type="http://schemas.openxmlformats.org/officeDocument/2006/relationships/hyperlink" Target="https://x.com/DisabRightsFun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sabilityrightsfund.org/about/our-team/" TargetMode="External"/><Relationship Id="rId17" Type="http://schemas.openxmlformats.org/officeDocument/2006/relationships/hyperlink" Target="https://www.instagram.com/disabilityrightsfund/" TargetMode="External"/><Relationship Id="rId2" Type="http://schemas.openxmlformats.org/officeDocument/2006/relationships/numbering" Target="numbering.xml"/><Relationship Id="rId16" Type="http://schemas.openxmlformats.org/officeDocument/2006/relationships/hyperlink" Target="https://www.facebook.com/disabilityrightsfu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rightsfund.org/grants-directory/" TargetMode="External"/><Relationship Id="rId5" Type="http://schemas.openxmlformats.org/officeDocument/2006/relationships/webSettings" Target="webSettings.xml"/><Relationship Id="rId15" Type="http://schemas.openxmlformats.org/officeDocument/2006/relationships/hyperlink" Target="mailto:info@disabilityrightsfund" TargetMode="External"/><Relationship Id="rId10" Type="http://schemas.openxmlformats.org/officeDocument/2006/relationships/hyperlink" Target="https://disabilityrightsfund.org/our-donors/" TargetMode="External"/><Relationship Id="rId19" Type="http://schemas.openxmlformats.org/officeDocument/2006/relationships/hyperlink" Target="https://www.linkedin.com/company/disability-rights-fund" TargetMode="External"/><Relationship Id="rId4" Type="http://schemas.openxmlformats.org/officeDocument/2006/relationships/settings" Target="settings.xml"/><Relationship Id="rId9" Type="http://schemas.openxmlformats.org/officeDocument/2006/relationships/hyperlink" Target="https://www.disabilityrightsfund.org/impact/" TargetMode="External"/><Relationship Id="rId14" Type="http://schemas.openxmlformats.org/officeDocument/2006/relationships/hyperlink" Target="http://www.drafun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7F0C-4E20-44FB-8E46-71353E47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Schloesser</dc:creator>
  <cp:keywords/>
  <dc:description/>
  <cp:lastModifiedBy>Rucha Chitnis</cp:lastModifiedBy>
  <cp:revision>3</cp:revision>
  <dcterms:created xsi:type="dcterms:W3CDTF">2024-11-09T00:17:00Z</dcterms:created>
  <dcterms:modified xsi:type="dcterms:W3CDTF">2024-11-09T00:17:00Z</dcterms:modified>
</cp:coreProperties>
</file>